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xmlns:a="http://schemas.openxmlformats.org/drawingml/2006/main" xmlns:aink="http://schemas.microsoft.com/office/drawing/2016/ink" xmlns:dgm="http://schemas.openxmlformats.org/drawingml/2006/diagram">
  <w:body>
    <w:p>
      <w:pPr>
        <w:pStyle w:val="BodyText"/>
        <w:spacing w:before="2"/>
        <w:ind w:left="0"/>
        <w:rPr>
          <w:rFonts w:ascii="Times New Roman"/>
          <w:sz w:val="2"/>
        </w:rPr>
      </w:pPr>
    </w:p>
    <w:tbl>
      <w:tblPr>
        <w:tblStyle w:val="TableNormal_0"/>
        <w:tblW w:w="0" w:type="auto"/>
        <w:tblInd w:w="9" w:type="dxa"/>
        <w:tblBorders>
          <w:top w:val="none" w:sz="4" w:space="0"/>
          <w:left w:val="none" w:sz="4" w:space="0"/>
          <w:bottom w:val="none" w:sz="4" w:space="0"/>
          <w:right w:val="none" w:sz="4" w:space="0"/>
          <w:insideH w:val="none" w:sz="4" w:space="0"/>
          <w:insideV w:val="none" w:sz="4" w:space="0"/>
        </w:tblBorders>
        <w:tblLayout w:type="fixed"/>
        <w:tblLook w:val="01E0"/>
      </w:tblPr>
      <w:tblGrid>
        <w:gridCol w:w="9570"/>
      </w:tblGrid>
      <w:tr>
        <w:tblPrEx>
          <w:tblW w:w="0" w:type="auto"/>
          <w:tblInd w:w="9" w:type="dxa"/>
          <w:tblBorders>
            <w:top w:val="none" w:sz="4" w:space="0"/>
            <w:left w:val="none" w:sz="4" w:space="0"/>
            <w:bottom w:val="none" w:sz="4" w:space="0"/>
            <w:right w:val="none" w:sz="4" w:space="0"/>
            <w:insideH w:val="none" w:sz="4" w:space="0"/>
            <w:insideV w:val="none" w:sz="4" w:space="0"/>
          </w:tblBorders>
          <w:tblLayout w:type="fixed"/>
          <w:tblLook w:val="01E0"/>
        </w:tblPrEx>
        <w:trPr>
          <w:trHeight w:val="399"/>
        </w:trPr>
        <w:tc>
          <w:tcPr>
            <w:cnfStyle w:val="101000000000"/>
            <w:tcW w:w="9570" w:type="dxa"/>
            <w:tcBorders>
              <w:bottom w:val="single" w:color="000000" w:sz="4" w:space="0"/>
            </w:tcBorders>
          </w:tcPr>
          <w:p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Лазарева</w:t>
            </w:r>
            <w:r>
              <w:rPr>
                <w:spacing w:val="6"/>
                <w:sz w:val="19"/>
              </w:rPr>
              <w:t xml:space="preserve"> Дмитрия</w:t>
            </w:r>
            <w:r>
              <w:rPr>
                <w:spacing w:val="5"/>
                <w:sz w:val="19"/>
              </w:rPr>
              <w:t xml:space="preserve"> Александровича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>
        <w:tblPrEx>
          <w:tblW w:w="0" w:type="auto"/>
          <w:tblInd w:w="9" w:type="dxa"/>
          <w:tblLayout w:type="fixed"/>
          <w:tblLook w:val="01E0"/>
        </w:tblPrEx>
        <w:trPr>
          <w:trHeight w:val="657"/>
        </w:trPr>
        <w:tc>
          <w:tcPr>
            <w:cnfStyle w:val="011000000000"/>
            <w:tcW w:w="9570" w:type="dxa"/>
            <w:tcBorders>
              <w:top w:val="single" w:color="000000" w:sz="4" w:space="0"/>
            </w:tcBorders>
          </w:tcPr>
          <w:p>
            <w:pPr>
              <w:pStyle w:val="TableParagraph"/>
              <w:spacing w:before="121" w:line="258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r>
              <w:fldChar w:fldCharType="begin"/>
            </w:r>
            <w:r>
              <w:instrText xml:space="preserve">HYPERLINK "mailto:bankrot@au.spb.ru" </w:instrText>
            </w:r>
            <w:r>
              <w:fldChar w:fldCharType="separate"/>
            </w:r>
            <w:r>
              <w:rPr>
                <w:sz w:val="19"/>
              </w:rPr>
              <w:t>bankrot@au.spb.ru</w:t>
            </w:r>
            <w:r>
              <w:fldChar w:fldCharType="end"/>
            </w:r>
          </w:p>
        </w:tc>
      </w:tr>
    </w:tbl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71"/>
        <w:ind w:left="0"/>
        <w:rPr>
          <w:rFonts w:ascii="Times New Roman"/>
          <w:sz w:val="24"/>
        </w:rPr>
      </w:pPr>
    </w:p>
    <w:p>
      <w:pPr>
        <w:pStyle w:val="Heading1"/>
        <w:spacing w:line="348" w:lineRule="exact"/>
        <w:ind w:right="590"/>
        <w:rPr/>
      </w:pPr>
      <w:r>
        <w:t>Договор</w:t>
      </w:r>
      <w:r>
        <w:rPr>
          <w:spacing w:val="7"/>
        </w:rPr>
        <w:t xml:space="preserve"> </w:t>
      </w:r>
      <w:r>
        <w:t>купли-</w:t>
      </w:r>
      <w:r>
        <w:rPr>
          <w:spacing w:val="-2"/>
        </w:rPr>
        <w:t>продажи</w:t>
      </w:r>
    </w:p>
    <w:p>
      <w:pPr>
        <w:pStyle w:val="BodyText"/>
        <w:tabs>
          <w:tab w:val="left" w:pos="7039"/>
          <w:tab w:val="left" w:pos="7853"/>
        </w:tabs>
        <w:spacing w:line="226" w:lineRule="exact"/>
        <w:rPr>
          <w:rFonts w:ascii="Verdana" w:hAnsi="Verdana"/>
        </w:rPr>
      </w:pPr>
      <w:r>
        <w:rPr>
          <w:rFonts w:ascii="Verdana" w:hAnsi="Verdana"/>
        </w:rPr>
        <w:t>г.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Санкт-</w:t>
      </w:r>
      <w:r>
        <w:rPr>
          <w:rFonts w:ascii="Verdana" w:hAnsi="Verdana"/>
          <w:spacing w:val="-2"/>
        </w:rPr>
        <w:t>Петербург</w:t>
      </w:r>
      <w:r>
        <w:rPr>
          <w:rFonts w:ascii="Verdana" w:hAnsi="Verdana"/>
        </w:rPr>
        <w:tab/>
      </w:r>
      <w:r>
        <w:rPr>
          <w:rFonts w:ascii="Verdana" w:hAnsi="Verdana"/>
          <w:color w:val="000000"/>
          <w:u w:val="single"/>
          <w:shd w:val="clear" w:color="auto" w:fill="bfbfbf"/>
        </w:rPr>
        <w:t>«</w:t>
      </w:r>
      <w:r>
        <w:rPr>
          <w:rFonts w:ascii="Verdana" w:hAnsi="Verdana"/>
          <w:color w:val="000000"/>
          <w:spacing w:val="78"/>
          <w:w w:val="150"/>
          <w:u w:val="single"/>
          <w:shd w:val="clear" w:color="auto" w:fill="bfbfbf"/>
        </w:rPr>
        <w:t xml:space="preserve"> </w:t>
      </w:r>
      <w:r>
        <w:rPr>
          <w:rFonts w:ascii="Verdana" w:hAnsi="Verdana"/>
          <w:color w:val="000000"/>
          <w:spacing w:val="-10"/>
          <w:u w:val="single"/>
          <w:shd w:val="clear" w:color="auto" w:fill="bfbfbf"/>
        </w:rPr>
        <w:t>»</w:t>
      </w:r>
      <w:r>
        <w:rPr>
          <w:rFonts w:ascii="Verdana" w:hAnsi="Verdana"/>
          <w:color w:val="000000"/>
          <w:u w:val="single"/>
          <w:shd w:val="clear" w:color="auto" w:fill="bfbfbf"/>
        </w:rPr>
        <w:tab/>
      </w:r>
      <w:r>
        <w:rPr>
          <w:rFonts w:ascii="Verdana" w:hAnsi="Verdana"/>
          <w:color w:val="000000"/>
          <w:shd w:val="clear" w:color="auto" w:fill="bfbfbf"/>
        </w:rPr>
        <w:t>2026</w:t>
      </w:r>
      <w:r>
        <w:rPr>
          <w:rFonts w:ascii="Verdana" w:hAnsi="Verdana"/>
          <w:color w:val="000000"/>
          <w:spacing w:val="-2"/>
          <w:shd w:val="clear" w:color="auto" w:fill="bfbfbf"/>
        </w:rPr>
        <w:t xml:space="preserve"> </w:t>
      </w:r>
      <w:r>
        <w:rPr>
          <w:rFonts w:ascii="Verdana" w:hAnsi="Verdana"/>
          <w:color w:val="000000"/>
          <w:spacing w:val="-5"/>
          <w:shd w:val="clear" w:color="auto" w:fill="bfbfbf"/>
        </w:rPr>
        <w:t>г.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90"/>
        <w:jc w:val="left"/>
        <w:rPr>
          <w:rFonts w:ascii="Verdana" w:hAnsi="Verdana"/>
          <w:color w:val="000000"/>
          <w:sz w:val="16"/>
          <w:szCs w:val="16"/>
          <w:rtl w:val="off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80"/>
        <w:jc w:val="left"/>
        <w:rPr>
          <w:rFonts w:ascii="Verdana" w:hAnsi="Verdana"/>
          <w:color w:val="000000"/>
          <w:sz w:val="16"/>
          <w:szCs w:val="16"/>
          <w:rtl w:val="off"/>
          <w:lang w:val="en-US"/>
        </w:rPr>
      </w:pPr>
      <w:r>
        <w:rPr>
          <w:rFonts w:ascii="Verdana" w:hAnsi="Verdana"/>
          <w:color w:val="000000"/>
          <w:sz w:val="16"/>
          <w:szCs w:val="16"/>
          <w:rtl w:val="off"/>
          <w:lang w:val="en-US"/>
        </w:rPr>
        <w:t>Решением АРБИТРАЖНОГО СУДА города Санкт-Петербурга и Ленинградской области от 15.04.2026 г. по делу № А56-28959/2026 А.Ю. Блажко Полунин Андрей Арнольдович (дата рождения: 28.09.1972 г., место рождения</w:t>
      </w:r>
      <w:r>
        <w:rPr>
          <w:rFonts w:ascii="Verdana" w:hAnsi="Verdana"/>
          <w:color w:val="000000" w:themeColor="dk1"/>
          <w:sz w:val="16"/>
          <w:szCs w:val="16"/>
          <w:rtl w:val="off"/>
          <w:lang w:val="en-US"/>
        </w:rPr>
        <w:t>: г. Мелитополь Запорожская обл., СНИЛС 220-153-450 99, ИНН 900100894148, адрес регистрации по месту жительства:</w:t>
      </w:r>
      <w:r>
        <w:rPr>
          <w:rFonts w:ascii="Verdana" w:hAnsi="Verdana"/>
          <w:color w:val="000000" w:themeColor="dk1"/>
          <w:sz w:val="16"/>
          <w:szCs w:val="16"/>
          <w:rtl w:val="off"/>
          <w:lang w:val="en-US"/>
        </w:rPr>
        <w:t xml:space="preserve">г. Санкт-Петербург, г. Красное Село, ул. Красногородская, д.9, к.1, лит.А) </w:t>
      </w:r>
      <w:r>
        <w:rPr>
          <w:rFonts w:ascii="Verdana" w:hAnsi="Verdana"/>
          <w:color w:val="000000" w:themeColor="dk1"/>
          <w:sz w:val="16"/>
          <w:szCs w:val="16"/>
          <w:rtl w:val="off"/>
          <w:lang w:val="en-US"/>
        </w:rPr>
        <w:t>приз</w:t>
      </w:r>
      <w:r>
        <w:rPr>
          <w:rFonts w:ascii="Verdana" w:hAnsi="Verdana"/>
          <w:color w:val="000000"/>
          <w:sz w:val="16"/>
          <w:szCs w:val="16"/>
          <w:rtl w:val="off"/>
          <w:lang w:val="en-US"/>
        </w:rPr>
        <w:t xml:space="preserve">нан несостоятельным (банкротом) и введена процедура реализации имущества гражданина.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700"/>
        <w:jc w:val="left"/>
        <w:rPr>
          <w:rFonts w:ascii="Verdana" w:hAnsi="Verdana"/>
          <w:color w:val="000000"/>
          <w:sz w:val="16"/>
          <w:szCs w:val="16"/>
          <w:lang w:val="en-US"/>
        </w:rPr>
      </w:pPr>
      <w:r>
        <w:rPr>
          <w:rFonts w:ascii="Verdana" w:hAnsi="Verdana"/>
          <w:color w:val="000000"/>
          <w:sz w:val="16"/>
          <w:szCs w:val="16"/>
          <w:rtl w:val="off"/>
          <w:lang w:val="en-US"/>
        </w:rPr>
        <w:t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</w:t>
      </w:r>
    </w:p>
    <w:p>
      <w:pPr>
        <w:spacing w:before="215" w:line="216" w:lineRule="auto"/>
        <w:ind w:left="3" w:right="321" w:firstLine="848"/>
        <w:rPr>
          <w:rFonts w:ascii="Verdana" w:hAnsi="Verdana"/>
          <w:sz w:val="16"/>
        </w:rPr>
      </w:pPr>
      <w:r>
        <w:rPr>
          <w:rFonts w:ascii="Tahoma" w:cs="Tahoma" w:hAnsi="Tahoma"/>
          <w:color w:val="333333"/>
          <w:sz w:val="17"/>
          <w:szCs w:val="17"/>
          <w:shd w:val="clear" w:color="auto" w:fill="eaf1f7"/>
        </w:rPr>
        <w:br w:type="textWrapping"/>
      </w:r>
      <w:r>
        <w:rPr>
          <w:rFonts w:ascii="Verdana" w:hAnsi="Verdana"/>
          <w:b/>
          <w:sz w:val="16"/>
        </w:rPr>
        <w:t xml:space="preserve">             </w:t>
      </w:r>
      <w:r>
        <w:rPr>
          <w:rFonts w:ascii="Verdana" w:hAnsi="Verdana"/>
          <w:b/>
          <w:sz w:val="16"/>
        </w:rPr>
        <w:t xml:space="preserve">Должник в лице Финансового управляющего Должника, </w:t>
      </w:r>
      <w:r>
        <w:rPr>
          <w:rFonts w:ascii="Verdana" w:hAnsi="Verdana"/>
          <w:sz w:val="16"/>
        </w:rPr>
        <w:t>Степанова Романа Сергеевича, действующего</w:t>
      </w:r>
      <w:r>
        <w:rPr>
          <w:rFonts w:ascii="Verdana" w:hAnsi="Verdana"/>
          <w:spacing w:val="40"/>
          <w:sz w:val="16"/>
        </w:rPr>
        <w:t xml:space="preserve"> </w:t>
      </w:r>
      <w:r>
        <w:rPr>
          <w:rFonts w:ascii="Verdana" w:hAnsi="Verdana"/>
          <w:sz w:val="16"/>
        </w:rPr>
        <w:t>на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основании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вышеуказанных</w:t>
      </w:r>
      <w:r>
        <w:rPr>
          <w:rFonts w:ascii="Verdana" w:hAnsi="Verdana"/>
          <w:spacing w:val="69"/>
          <w:sz w:val="16"/>
        </w:rPr>
        <w:t xml:space="preserve"> </w:t>
      </w:r>
      <w:r>
        <w:rPr>
          <w:rFonts w:ascii="Verdana" w:hAnsi="Verdana"/>
          <w:sz w:val="16"/>
        </w:rPr>
        <w:t>судебных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актов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ФЗ</w:t>
      </w:r>
      <w:r>
        <w:rPr>
          <w:rFonts w:ascii="Verdana" w:hAnsi="Verdana"/>
          <w:spacing w:val="67"/>
          <w:sz w:val="16"/>
        </w:rPr>
        <w:t xml:space="preserve"> </w:t>
      </w:r>
      <w:r>
        <w:rPr>
          <w:rFonts w:ascii="Verdana" w:hAnsi="Verdana"/>
          <w:sz w:val="16"/>
        </w:rPr>
        <w:t>«О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несостоятельности</w:t>
      </w:r>
      <w:r>
        <w:rPr>
          <w:rFonts w:ascii="Verdana" w:hAnsi="Verdana"/>
          <w:spacing w:val="69"/>
          <w:sz w:val="16"/>
        </w:rPr>
        <w:t xml:space="preserve"> </w:t>
      </w:r>
      <w:r>
        <w:rPr>
          <w:rFonts w:ascii="Verdana" w:hAnsi="Verdana"/>
          <w:sz w:val="16"/>
        </w:rPr>
        <w:t>(банкротстве)»,</w:t>
      </w:r>
      <w:r>
        <w:rPr>
          <w:rFonts w:ascii="Verdana" w:hAnsi="Verdana"/>
          <w:spacing w:val="67"/>
          <w:sz w:val="16"/>
        </w:rPr>
        <w:t xml:space="preserve"> </w:t>
      </w:r>
      <w:r>
        <w:rPr>
          <w:rFonts w:ascii="Verdana" w:hAnsi="Verdana"/>
          <w:sz w:val="16"/>
        </w:rPr>
        <w:t>именуемый</w:t>
      </w:r>
      <w:r>
        <w:rPr>
          <w:rFonts w:ascii="Verdana" w:hAnsi="Verdana"/>
          <w:spacing w:val="69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Далее</w:t>
      </w:r>
    </w:p>
    <w:p>
      <w:pPr>
        <w:spacing w:line="211" w:lineRule="exact"/>
        <w:ind w:left="3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«</w:t>
      </w:r>
      <w:r>
        <w:rPr>
          <w:rFonts w:ascii="Verdana" w:hAnsi="Verdana"/>
          <w:b/>
          <w:sz w:val="16"/>
        </w:rPr>
        <w:t>Продавец</w:t>
      </w:r>
      <w:r>
        <w:rPr>
          <w:rFonts w:ascii="Verdana" w:hAnsi="Verdana"/>
          <w:sz w:val="16"/>
        </w:rPr>
        <w:t>»,</w:t>
      </w:r>
      <w:r>
        <w:rPr>
          <w:rFonts w:ascii="Verdana" w:hAnsi="Verdana"/>
          <w:spacing w:val="2"/>
          <w:sz w:val="16"/>
        </w:rPr>
        <w:t xml:space="preserve"> </w:t>
      </w:r>
      <w:r>
        <w:rPr>
          <w:rFonts w:ascii="Verdana" w:hAnsi="Verdana"/>
          <w:spacing w:val="-10"/>
          <w:sz w:val="16"/>
        </w:rPr>
        <w:t>и</w:t>
      </w:r>
    </w:p>
    <w:p>
      <w:pPr>
        <w:pStyle w:val="BodyText"/>
        <w:tabs>
          <w:tab w:val="left" w:pos="1894"/>
        </w:tabs>
        <w:spacing w:line="218" w:lineRule="exact"/>
        <w:ind w:left="723"/>
        <w:rPr>
          <w:rFonts w:ascii="Verdana" w:hAnsi="Verdana"/>
        </w:rPr>
      </w:pP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31"/>
        </w:rPr>
        <w:t xml:space="preserve"> </w:t>
      </w:r>
      <w:r>
        <w:rPr>
          <w:rFonts w:ascii="Verdana" w:hAnsi="Verdana"/>
        </w:rPr>
        <w:t>паспортные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данные,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дата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рождения,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место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рождения,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именуемый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(-</w:t>
      </w:r>
      <w:r>
        <w:rPr>
          <w:rFonts w:ascii="Verdana" w:hAnsi="Verdana"/>
        </w:rPr>
        <w:t>ая</w:t>
      </w:r>
      <w:r>
        <w:rPr>
          <w:rFonts w:ascii="Verdana" w:hAnsi="Verdana"/>
        </w:rPr>
        <w:t>)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дальнейшем</w:t>
      </w:r>
    </w:p>
    <w:p>
      <w:pPr>
        <w:pStyle w:val="BodyText"/>
        <w:spacing w:line="218" w:lineRule="exact"/>
        <w:rPr>
          <w:rFonts w:ascii="Verdana" w:hAnsi="Verdana"/>
        </w:rPr>
      </w:pPr>
      <w:r>
        <w:rPr>
          <w:rFonts w:ascii="Verdana" w:hAnsi="Verdana"/>
        </w:rPr>
        <w:t>«Покупатель»,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с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другой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стороны,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основании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Заявки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номер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заключили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настоящий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договор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  <w:spacing w:val="-2"/>
        </w:rPr>
        <w:t>нижеследующем:</w:t>
      </w:r>
    </w:p>
    <w:p>
      <w:pPr>
        <w:pStyle w:val="ListParagraph"/>
        <w:numPr>
          <w:ilvl w:val="0"/>
          <w:numId w:val="2"/>
        </w:numPr>
        <w:tabs>
          <w:tab w:val="left" w:pos="316"/>
        </w:tabs>
        <w:spacing w:line="218" w:lineRule="auto"/>
        <w:ind w:left="710" w:right="559" w:firstLine="0"/>
        <w:rPr>
          <w:rFonts w:ascii="Verdana" w:hAnsi="Verdana"/>
          <w:b w:val="off"/>
          <w:bCs w:val="off"/>
          <w:sz w:val="16"/>
          <w:szCs w:val="16"/>
        </w:rPr>
      </w:pPr>
      <w:r>
        <w:rPr>
          <w:rFonts w:ascii="Verdana" w:hAnsi="Verdana"/>
          <w:sz w:val="16"/>
        </w:rPr>
        <w:t>По настоящему договору Продавец продает, а Покупатель, признанный единственным участником торгов по продаже имущества Должника по лоту № 1 в процедуре банкротства Д</w:t>
      </w:r>
      <w:r>
        <w:rPr>
          <w:rFonts w:ascii="Verdana" w:hAnsi="Verdana"/>
          <w:b w:val="off"/>
          <w:bCs w:val="off"/>
          <w:sz w:val="16"/>
          <w:szCs w:val="16"/>
        </w:rPr>
        <w:t>олжника, покупает и принимает в собственность на условиях и в порядке, указанном в настоящем</w:t>
      </w:r>
      <w:r>
        <w:rPr>
          <w:rFonts w:ascii="Verdana" w:hAnsi="Verdana"/>
          <w:b w:val="off"/>
          <w:bCs w:val="off"/>
          <w:sz w:val="16"/>
          <w:szCs w:val="16"/>
        </w:rPr>
        <w:t xml:space="preserve"> Договоре, следующее имущество: легковой </w:t>
      </w:r>
      <w:r>
        <w:rPr>
          <w:rFonts w:ascii="Verdana" w:hAnsi="Verdana"/>
          <w:b w:val="off"/>
          <w:bCs w:val="off"/>
          <w:sz w:val="16"/>
          <w:szCs w:val="16"/>
        </w:rPr>
        <w:t xml:space="preserve">автомобиль </w:t>
      </w:r>
      <w:r>
        <w:rPr>
          <w:rFonts w:ascii="Verdana" w:hAnsi="Verdana"/>
          <w:b w:val="off"/>
          <w:bCs w:val="off"/>
          <w:sz w:val="16"/>
          <w:szCs w:val="16"/>
        </w:rPr>
        <w:t xml:space="preserve">Транспортное средство, </w:t>
      </w:r>
      <w:r>
        <w:rPr>
          <w:rFonts w:ascii="Verdana" w:hAnsi="Verdana"/>
          <w:b w:val="off"/>
          <w:bCs w:val="off"/>
          <w:sz w:val="16"/>
          <w:szCs w:val="16"/>
        </w:rPr>
        <w:t xml:space="preserve">автомобиль легковой </w:t>
      </w:r>
      <w:r>
        <w:rPr>
          <w:rFonts w:ascii="Verdana" w:hAnsi="Verdana"/>
          <w:b w:val="off"/>
          <w:bCs w:val="off"/>
          <w:sz w:val="16"/>
          <w:szCs w:val="16"/>
        </w:rPr>
        <w:t>ШЕВРОЛЕ LACETTI</w:t>
      </w:r>
      <w:r>
        <w:rPr>
          <w:rFonts w:ascii="Verdana" w:hAnsi="Verdana"/>
          <w:b w:val="off"/>
          <w:bCs w:val="off"/>
          <w:sz w:val="16"/>
          <w:szCs w:val="16"/>
        </w:rPr>
        <w:t xml:space="preserve"> 2007 </w:t>
      </w:r>
      <w:r>
        <w:rPr>
          <w:rFonts w:ascii="Verdana" w:hAnsi="Verdana"/>
          <w:b w:val="off"/>
          <w:bCs w:val="off"/>
          <w:sz w:val="16"/>
          <w:szCs w:val="16"/>
        </w:rPr>
        <w:t>г.в</w:t>
      </w:r>
      <w:r>
        <w:rPr>
          <w:rFonts w:ascii="Verdana" w:hAnsi="Verdana"/>
          <w:b w:val="off"/>
          <w:bCs w:val="off"/>
          <w:sz w:val="16"/>
          <w:szCs w:val="16"/>
        </w:rPr>
        <w:t xml:space="preserve">., </w:t>
      </w:r>
      <w:r>
        <w:rPr>
          <w:rFonts w:ascii="Verdana" w:hAnsi="Verdana"/>
          <w:b w:val="off"/>
          <w:bCs w:val="off"/>
          <w:sz w:val="16"/>
          <w:szCs w:val="16"/>
          <w:lang w:val="en-US"/>
        </w:rPr>
        <w:t>VIN</w:t>
      </w:r>
      <w:r>
        <w:rPr>
          <w:rFonts w:ascii="Verdana" w:hAnsi="Verdana"/>
          <w:b w:val="off"/>
          <w:bCs w:val="off"/>
          <w:sz w:val="16"/>
          <w:szCs w:val="16"/>
        </w:rPr>
        <w:t>-</w:t>
      </w:r>
      <w:r>
        <w:rPr>
          <w:rFonts w:ascii="Verdana" w:hAnsi="Verdana"/>
          <w:b w:val="off"/>
          <w:bCs w:val="off"/>
          <w:sz w:val="16"/>
          <w:szCs w:val="16"/>
        </w:rPr>
        <w:t xml:space="preserve">номер </w:t>
      </w:r>
      <w:r>
        <w:rPr>
          <w:rFonts w:ascii="Verdana" w:hAnsi="Verdana"/>
          <w:b w:val="off"/>
          <w:bCs w:val="off"/>
          <w:sz w:val="16"/>
          <w:szCs w:val="16"/>
        </w:rPr>
        <w:t>KL1NF487J8K82960</w:t>
      </w:r>
      <w:r>
        <w:rPr>
          <w:rFonts w:ascii="Verdana" w:hAnsi="Verdana"/>
          <w:b w:val="off"/>
          <w:bCs w:val="off"/>
          <w:sz w:val="16"/>
          <w:szCs w:val="16"/>
        </w:rPr>
        <w:t xml:space="preserve">, модель и номер двигателя: </w:t>
      </w:r>
      <w:r>
        <w:rPr>
          <w:rFonts w:ascii="Verdana" w:hAnsi="Verdana"/>
          <w:b w:val="off"/>
          <w:bCs w:val="off"/>
          <w:sz w:val="16"/>
          <w:szCs w:val="16"/>
        </w:rPr>
        <w:t>F14D3</w:t>
      </w:r>
      <w:r>
        <w:rPr>
          <w:rFonts w:ascii="Verdana" w:hAnsi="Verdana"/>
          <w:b w:val="off"/>
          <w:bCs w:val="off"/>
          <w:sz w:val="16"/>
          <w:szCs w:val="16"/>
        </w:rPr>
        <w:t xml:space="preserve">, </w:t>
      </w:r>
      <w:r>
        <w:rPr>
          <w:rFonts w:ascii="Verdana" w:hAnsi="Verdana"/>
          <w:b w:val="off"/>
          <w:bCs w:val="off"/>
          <w:sz w:val="16"/>
          <w:szCs w:val="16"/>
        </w:rPr>
        <w:t>633577K</w:t>
      </w:r>
      <w:r>
        <w:rPr>
          <w:rFonts w:ascii="Verdana" w:hAnsi="Verdana"/>
          <w:b w:val="off"/>
          <w:bCs w:val="off"/>
          <w:sz w:val="16"/>
          <w:szCs w:val="16"/>
        </w:rPr>
        <w:t xml:space="preserve">, цвет: серо-зеленый, государственный регистрационный номер </w:t>
      </w:r>
      <w:r>
        <w:rPr>
          <w:rFonts w:ascii="Verdana" w:hAnsi="Verdana"/>
          <w:b w:val="off"/>
          <w:bCs w:val="off"/>
          <w:sz w:val="16"/>
          <w:szCs w:val="16"/>
        </w:rPr>
        <w:t>Н092СК178</w:t>
      </w:r>
      <w:r>
        <w:rPr>
          <w:rFonts w:ascii="Verdana" w:hAnsi="Verdana"/>
          <w:b w:val="off"/>
          <w:bCs w:val="off"/>
          <w:sz w:val="16"/>
          <w:szCs w:val="16"/>
        </w:rPr>
        <w:t>.</w:t>
      </w:r>
    </w:p>
    <w:p>
      <w:pPr>
        <w:pStyle w:val="ListParagraph"/>
        <w:numPr>
          <w:ilvl w:val="0"/>
          <w:numId w:val="2"/>
        </w:numPr>
        <w:tabs>
          <w:tab w:val="left" w:pos="316"/>
        </w:tabs>
        <w:spacing w:line="218" w:lineRule="auto"/>
        <w:ind w:left="710" w:right="559" w:firstLine="0"/>
        <w:rPr>
          <w:rFonts w:ascii="Verdana" w:hAnsi="Verdana"/>
          <w:sz w:val="16"/>
        </w:rPr>
      </w:pPr>
      <w:r>
        <w:rPr>
          <w:rFonts w:ascii="Verdana" w:hAnsi="Verdana"/>
          <w:b w:val="off"/>
          <w:bCs w:val="off"/>
          <w:sz w:val="16"/>
          <w:szCs w:val="16"/>
        </w:rPr>
        <w:t xml:space="preserve">Заключением настоящего Договора Покупатель подтверждает, что полностью ознакомлен со всеми сведениями об имуществе, его </w:t>
      </w:r>
      <w:r>
        <w:rPr>
          <w:rFonts w:ascii="Verdana" w:hAnsi="Verdana"/>
          <w:b w:val="off"/>
          <w:bCs w:val="off"/>
          <w:sz w:val="16"/>
          <w:szCs w:val="16"/>
        </w:rPr>
        <w:t>составе/комплектности, характеристиках, описании и качестве имущества, которые признаны Покупател</w:t>
      </w:r>
      <w:r>
        <w:rPr>
          <w:rFonts w:ascii="Verdana" w:hAnsi="Verdana"/>
          <w:sz w:val="16"/>
        </w:rPr>
        <w:t>ем как надлежащие/удовлетворительные.</w:t>
      </w:r>
    </w:p>
    <w:p>
      <w:pPr>
        <w:pStyle w:val="ListParagraph"/>
        <w:numPr>
          <w:ilvl w:val="0"/>
          <w:numId w:val="2"/>
        </w:numPr>
        <w:tabs>
          <w:tab w:val="left" w:pos="941"/>
        </w:tabs>
        <w:spacing w:line="216" w:lineRule="auto"/>
        <w:ind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Стоимость </w:t>
      </w:r>
      <w:r>
        <w:rPr>
          <w:rFonts w:ascii="Verdana" w:hAnsi="Verdana"/>
          <w:sz w:val="16"/>
          <w:highlight w:val="none"/>
        </w:rPr>
        <w:t xml:space="preserve">имущества (начальная цена продажи Лота № 1), указанного в п.1. настоящего договора, </w:t>
      </w:r>
      <w:r>
        <w:rPr>
          <w:rFonts w:ascii="Verdana" w:hAnsi="Verdana"/>
          <w:sz w:val="16"/>
          <w:highlight w:val="none"/>
        </w:rPr>
        <w:t xml:space="preserve">составляет </w:t>
      </w:r>
      <w:r>
        <w:rPr>
          <w:rFonts w:ascii="Verdana" w:hAnsi="Verdana"/>
          <w:sz w:val="16"/>
          <w:highlight w:val="none"/>
        </w:rPr>
        <w:t>_______</w:t>
      </w:r>
      <w:r>
        <w:rPr>
          <w:rFonts w:ascii="Verdana" w:hAnsi="Verdana"/>
          <w:sz w:val="16"/>
          <w:highlight w:val="none"/>
        </w:rPr>
        <w:t xml:space="preserve"> (</w:t>
      </w:r>
      <w:r>
        <w:rPr>
          <w:rFonts w:ascii="Verdana" w:hAnsi="Verdana"/>
          <w:sz w:val="16"/>
          <w:highlight w:val="none"/>
        </w:rPr>
        <w:t>________________</w:t>
      </w:r>
      <w:r>
        <w:rPr>
          <w:rFonts w:ascii="Verdana" w:hAnsi="Verdana"/>
          <w:sz w:val="16"/>
          <w:highlight w:val="none"/>
        </w:rPr>
        <w:t>) рублей 00 копеек.</w:t>
      </w:r>
    </w:p>
    <w:p>
      <w:pPr>
        <w:pStyle w:val="ListParagraph"/>
        <w:numPr>
          <w:ilvl w:val="1"/>
          <w:numId w:val="2"/>
        </w:numPr>
        <w:tabs>
          <w:tab w:val="left" w:pos="1048"/>
          <w:tab w:val="left" w:pos="5371"/>
        </w:tabs>
        <w:spacing w:line="216" w:lineRule="auto"/>
        <w:ind w:right="291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К оплате подлежит сумма в размере</w:t>
      </w:r>
      <w:r>
        <w:rPr>
          <w:rFonts w:ascii="Verdana" w:hAnsi="Verdana"/>
          <w:sz w:val="16"/>
        </w:rPr>
        <w:t xml:space="preserve"> ______</w:t>
      </w:r>
      <w:r>
        <w:rPr>
          <w:rFonts w:ascii="Verdana" w:hAnsi="Verdana"/>
          <w:spacing w:val="-10"/>
          <w:sz w:val="16"/>
        </w:rPr>
        <w:t xml:space="preserve"> </w:t>
      </w:r>
      <w:r>
        <w:rPr>
          <w:rFonts w:ascii="Verdana" w:hAnsi="Verdana"/>
          <w:sz w:val="16"/>
        </w:rPr>
        <w:t xml:space="preserve">рублей, так как ранее Покупателем был оплачен задаток в размере </w:t>
      </w:r>
      <w:r>
        <w:rPr>
          <w:rFonts w:ascii="Verdana" w:hAnsi="Verdana"/>
          <w:sz w:val="16"/>
        </w:rPr>
        <w:t>_______</w:t>
      </w:r>
      <w:r>
        <w:rPr>
          <w:rFonts w:ascii="Verdana" w:hAnsi="Verdana"/>
          <w:sz w:val="16"/>
        </w:rPr>
        <w:t>,</w:t>
      </w:r>
      <w:r>
        <w:rPr>
          <w:rFonts w:ascii="Verdana" w:hAnsi="Verdana"/>
          <w:sz w:val="16"/>
        </w:rPr>
        <w:t xml:space="preserve"> который зачтен в счет оплаты по настоящему Договору.</w:t>
      </w:r>
    </w:p>
    <w:p>
      <w:pPr>
        <w:pStyle w:val="ListParagraph"/>
        <w:numPr>
          <w:ilvl w:val="1"/>
          <w:numId w:val="2"/>
        </w:numPr>
        <w:tabs>
          <w:tab w:val="left" w:pos="1047"/>
        </w:tabs>
        <w:spacing w:line="216" w:lineRule="auto"/>
        <w:ind w:right="290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Оплата производится в соответствии с </w:t>
      </w:r>
      <w:r>
        <w:rPr>
          <w:rFonts w:ascii="Verdana" w:hAnsi="Verdana"/>
          <w:sz w:val="16"/>
        </w:rPr>
        <w:t>Положением о торгах и сообщением, размещенным в ЕФРСБ в течение 30 (тридцати) дней с даты подписания Договора по банковским реквизитам Должника:</w:t>
      </w:r>
    </w:p>
    <w:p>
      <w:pPr>
        <w:pStyle w:val="BodyText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highlight w:val="none"/>
          <w:u w:val="single"/>
        </w:rPr>
      </w:pPr>
      <w:r>
        <w:rPr>
          <w:rFonts w:ascii="Verdana" w:hAnsi="Verdana"/>
          <w:highlight w:val="none"/>
          <w:u w:val="single"/>
        </w:rPr>
        <w:t xml:space="preserve">Получатель: </w:t>
      </w:r>
      <w:r>
        <w:rPr>
          <w:rFonts w:ascii="Verdana" w:hAnsi="Verdana"/>
          <w:highlight w:val="none"/>
          <w:u w:val="single"/>
        </w:rPr>
        <w:t>Полунин</w:t>
      </w:r>
      <w:r>
        <w:rPr>
          <w:rFonts w:ascii="Verdana" w:hAnsi="Verdana"/>
          <w:highlight w:val="none"/>
          <w:u w:val="single"/>
        </w:rPr>
        <w:t xml:space="preserve"> </w:t>
      </w:r>
      <w:r>
        <w:rPr>
          <w:rFonts w:ascii="Verdana" w:hAnsi="Verdana"/>
          <w:highlight w:val="none"/>
          <w:u w:val="single"/>
        </w:rPr>
        <w:t>Андрей</w:t>
      </w:r>
      <w:r>
        <w:rPr>
          <w:rFonts w:ascii="Verdana" w:hAnsi="Verdana"/>
          <w:highlight w:val="none"/>
          <w:u w:val="single"/>
        </w:rPr>
        <w:t xml:space="preserve"> </w:t>
      </w:r>
      <w:r>
        <w:rPr>
          <w:rFonts w:ascii="Verdana" w:hAnsi="Verdana"/>
          <w:highlight w:val="none"/>
          <w:u w:val="single"/>
        </w:rPr>
        <w:t>Арнольдович</w:t>
      </w:r>
      <w:r>
        <w:rPr>
          <w:rFonts w:ascii="Verdana" w:hAnsi="Verdana"/>
          <w:spacing w:val="40"/>
          <w:u w:val="single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Verdana" w:hAnsi="Verdana"/>
          <w:spacing w:val="40"/>
          <w:sz w:val="16"/>
          <w:szCs w:val="16"/>
          <w:highlight w:val="none"/>
          <w:u w:val="single"/>
        </w:rPr>
      </w:pPr>
      <w:r>
        <w:rPr>
          <w:rFonts w:ascii="Verdana" w:hAnsi="Verdana"/>
          <w:sz w:val="16"/>
          <w:szCs w:val="16"/>
          <w:highlight w:val="none"/>
          <w:u w:val="single"/>
        </w:rPr>
        <w:t>Номер счета:</w:t>
      </w:r>
      <w:r>
        <w:rPr>
          <w:rFonts w:ascii="Verdana" w:hAnsi="Verdana"/>
          <w:color w:val="000000"/>
          <w:sz w:val="16"/>
          <w:szCs w:val="16"/>
          <w:highlight w:val="none"/>
          <w:u w:val="single"/>
          <w:rtl w:val="off"/>
          <w:lang w:val="en-US"/>
        </w:rPr>
        <w:t>40817810250226382186</w:t>
      </w:r>
      <w:r>
        <w:rPr>
          <w:rFonts w:ascii="Verdana" w:hAnsi="Verdana"/>
          <w:color w:val="000000"/>
          <w:sz w:val="16"/>
          <w:szCs w:val="16"/>
          <w:u w:val="single"/>
          <w:rtl w:val="off"/>
          <w:lang w:val="en-US"/>
        </w:rPr>
        <w:t xml:space="preserve"> </w:t>
      </w:r>
      <w:r>
        <w:rPr>
          <w:rFonts w:ascii="Verdana" w:hAnsi="Verdana"/>
          <w:sz w:val="16"/>
          <w:szCs w:val="16"/>
          <w:highlight w:val="none"/>
          <w:u w:val="single"/>
        </w:rPr>
        <w:br w:type="textWrapping"/>
      </w:r>
      <w:r>
        <w:rPr>
          <w:rFonts w:ascii="Verdana" w:hAnsi="Verdana"/>
          <w:sz w:val="16"/>
          <w:szCs w:val="16"/>
          <w:highlight w:val="none"/>
          <w:u w:val="single"/>
        </w:rPr>
        <w:t xml:space="preserve">Банк получателя: ФИЛИАЛ </w:t>
      </w:r>
      <w:r>
        <w:rPr>
          <w:rFonts w:ascii="Verdana" w:hAnsi="Verdana"/>
          <w:sz w:val="16"/>
          <w:szCs w:val="16"/>
          <w:highlight w:val="none"/>
          <w:u w:val="single"/>
        </w:rPr>
        <w:t>"ЦЕНТРАЛЬНЫЙ" ПАО "СОВКОМБАНК"</w:t>
      </w:r>
      <w:r>
        <w:rPr>
          <w:rFonts w:ascii="Verdana" w:hAnsi="Verdana"/>
          <w:spacing w:val="40"/>
          <w:sz w:val="16"/>
          <w:szCs w:val="16"/>
          <w:highlight w:val="none"/>
          <w:u w:val="single"/>
        </w:rPr>
        <w:t xml:space="preserve"> </w:t>
      </w:r>
    </w:p>
    <w:p>
      <w:pPr>
        <w:pStyle w:val="BodyText"/>
        <w:tabs>
          <w:tab w:val="left" w:pos="2866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z w:val="16"/>
          <w:szCs w:val="16"/>
          <w:highlight w:val="none"/>
          <w:u w:val="single"/>
        </w:rPr>
      </w:pPr>
      <w:r>
        <w:rPr>
          <w:rFonts w:ascii="Verdana" w:hAnsi="Verdana"/>
          <w:sz w:val="16"/>
          <w:szCs w:val="16"/>
          <w:highlight w:val="none"/>
          <w:u w:val="single"/>
        </w:rPr>
        <w:t>БИК:</w:t>
      </w:r>
      <w:r>
        <w:rPr>
          <w:rFonts w:ascii="Verdana" w:hAnsi="Verdana"/>
          <w:spacing w:val="-1"/>
          <w:sz w:val="16"/>
          <w:szCs w:val="16"/>
          <w:highlight w:val="none"/>
          <w:u w:val="single"/>
        </w:rPr>
        <w:t xml:space="preserve"> </w:t>
      </w:r>
      <w:r>
        <w:rPr>
          <w:rFonts w:ascii="Verdana" w:hAnsi="Verdana"/>
          <w:sz w:val="16"/>
          <w:szCs w:val="16"/>
          <w:highlight w:val="none"/>
          <w:u w:val="single"/>
        </w:rPr>
        <w:t>045004763</w:t>
      </w:r>
    </w:p>
    <w:p>
      <w:pPr>
        <w:pStyle w:val="BodyText"/>
        <w:tabs>
          <w:tab w:val="left" w:pos="2317"/>
        </w:tabs>
        <w:ind w:left="0"/>
        <w:rPr>
          <w:rFonts w:ascii="Verdana" w:hAnsi="Verdana"/>
          <w:sz w:val="16"/>
          <w:szCs w:val="16"/>
          <w:highlight w:val="none"/>
          <w:u w:val="single"/>
        </w:rPr>
      </w:pPr>
      <w:r>
        <w:rPr>
          <w:rFonts w:ascii="Verdana" w:hAnsi="Verdana"/>
          <w:sz w:val="16"/>
          <w:szCs w:val="16"/>
          <w:highlight w:val="none"/>
          <w:u w:val="single"/>
        </w:rPr>
        <w:t>ИНН:</w:t>
      </w:r>
      <w:r>
        <w:rPr>
          <w:rFonts w:ascii="Verdana" w:hAnsi="Verdana"/>
          <w:spacing w:val="-1"/>
          <w:sz w:val="16"/>
          <w:szCs w:val="16"/>
          <w:highlight w:val="none"/>
          <w:u w:val="single"/>
        </w:rPr>
        <w:t xml:space="preserve"> 4401116480</w:t>
      </w:r>
    </w:p>
    <w:p>
      <w:pPr>
        <w:pStyle w:val="BodyText"/>
        <w:tabs>
          <w:tab w:val="left" w:pos="3945"/>
        </w:tabs>
        <w:ind w:left="0"/>
        <w:rPr>
          <w:rFonts w:ascii="Verdana" w:hAnsi="Verdana"/>
          <w:sz w:val="16"/>
          <w:szCs w:val="16"/>
          <w:highlight w:val="none"/>
          <w:u w:val="single"/>
        </w:rPr>
      </w:pPr>
      <w:r>
        <w:rPr>
          <w:rFonts w:ascii="Verdana" w:hAnsi="Verdana"/>
          <w:sz w:val="16"/>
          <w:szCs w:val="16"/>
          <w:highlight w:val="none"/>
          <w:u w:val="single"/>
        </w:rPr>
        <w:t>Корреспондентский счет:</w:t>
      </w:r>
      <w:r>
        <w:rPr>
          <w:rFonts w:ascii="Verdana" w:hAnsi="Verdana"/>
          <w:spacing w:val="-2"/>
          <w:sz w:val="16"/>
          <w:szCs w:val="16"/>
          <w:highlight w:val="none"/>
          <w:u w:val="single"/>
        </w:rPr>
        <w:t>30101810150040000763</w:t>
      </w:r>
    </w:p>
    <w:p>
      <w:pPr>
        <w:pStyle w:val="BodyText"/>
        <w:tabs>
          <w:tab w:val="left" w:pos="2402"/>
        </w:tabs>
        <w:ind w:left="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  <w:highlight w:val="none"/>
          <w:u w:val="single"/>
        </w:rPr>
        <w:t>ОГРН:</w:t>
      </w:r>
      <w:r>
        <w:rPr>
          <w:rFonts w:ascii="Verdana" w:hAnsi="Verdana"/>
          <w:spacing w:val="-1"/>
          <w:sz w:val="16"/>
          <w:szCs w:val="16"/>
          <w:highlight w:val="none"/>
          <w:u w:val="single"/>
        </w:rPr>
        <w:t xml:space="preserve"> 1144400000425</w:t>
      </w:r>
    </w:p>
    <w:p>
      <w:pPr>
        <w:pStyle w:val="BodyText"/>
        <w:spacing w:before="2"/>
        <w:ind w:left="0"/>
        <w:rPr>
          <w:rFonts w:ascii="Verdana" w:hAnsi="Verdana"/>
        </w:rPr>
      </w:pPr>
    </w:p>
    <w:p>
      <w:pPr>
        <w:pStyle w:val="ListParagraph"/>
        <w:numPr>
          <w:ilvl w:val="1"/>
          <w:numId w:val="2"/>
        </w:numPr>
        <w:ind w:left="0" w:right="289" w:firstLine="709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Стороны</w:t>
      </w:r>
      <w:r>
        <w:rPr>
          <w:rFonts w:ascii="Verdana" w:hAnsi="Verdana"/>
          <w:spacing w:val="3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на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основании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абз</w:t>
      </w:r>
      <w:r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2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п.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1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ст.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432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ГК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РФ</w:t>
      </w:r>
      <w:r>
        <w:rPr>
          <w:rFonts w:ascii="Verdana" w:hAnsi="Verdana"/>
          <w:spacing w:val="3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пришли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к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соглашению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о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том,</w:t>
      </w:r>
      <w:r>
        <w:rPr>
          <w:rFonts w:ascii="Verdana" w:hAnsi="Verdana"/>
          <w:spacing w:val="3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что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условие,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указанное</w:t>
      </w:r>
      <w:r>
        <w:rPr>
          <w:rFonts w:ascii="Verdana" w:hAnsi="Verdana"/>
          <w:spacing w:val="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в</w:t>
      </w:r>
      <w:r>
        <w:rPr>
          <w:rFonts w:ascii="Verdana" w:hAnsi="Verdana"/>
          <w:spacing w:val="5"/>
          <w:sz w:val="16"/>
          <w:szCs w:val="16"/>
        </w:rPr>
        <w:t xml:space="preserve"> </w:t>
      </w:r>
      <w:r>
        <w:rPr>
          <w:rFonts w:ascii="Verdana" w:hAnsi="Verdana"/>
          <w:spacing w:val="-5"/>
          <w:sz w:val="16"/>
          <w:szCs w:val="16"/>
        </w:rPr>
        <w:t>п.</w:t>
      </w:r>
      <w:r>
        <w:rPr>
          <w:rFonts w:ascii="Verdana" w:hAnsi="Verdana"/>
          <w:sz w:val="16"/>
          <w:szCs w:val="16"/>
        </w:rPr>
        <w:t>3.</w:t>
      </w:r>
      <w:r>
        <w:rPr>
          <w:rFonts w:ascii="Verdana" w:hAnsi="Verdana"/>
          <w:sz w:val="16"/>
          <w:szCs w:val="16"/>
        </w:rPr>
        <w:t>4</w:t>
      </w:r>
      <w:r>
        <w:rPr>
          <w:rFonts w:ascii="Verdana" w:hAnsi="Verdana"/>
          <w:sz w:val="16"/>
          <w:szCs w:val="16"/>
        </w:rPr>
        <w:t>.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настоящего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Договора,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является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существенным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для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Сторон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условием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для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заключения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настоящего</w:t>
      </w:r>
      <w:r>
        <w:rPr>
          <w:rFonts w:ascii="Verdana" w:hAnsi="Verdana"/>
          <w:spacing w:val="-6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Договора.</w:t>
      </w:r>
      <w:r>
        <w:rPr>
          <w:rFonts w:ascii="Verdana" w:hAnsi="Verdana"/>
          <w:spacing w:val="-6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 xml:space="preserve">Таким образом, в случае неисполнения и/или нарушения Покупателем принятых на себя обязательств по оплате приобретаемого имущества в соответствии с </w:t>
      </w:r>
      <w:r>
        <w:rPr>
          <w:rFonts w:ascii="Verdana" w:hAnsi="Verdana"/>
          <w:sz w:val="16"/>
          <w:szCs w:val="16"/>
        </w:rPr>
        <w:t>п.п</w:t>
      </w:r>
      <w:r>
        <w:rPr>
          <w:rFonts w:ascii="Verdana" w:hAnsi="Verdana"/>
          <w:sz w:val="16"/>
          <w:szCs w:val="16"/>
        </w:rPr>
        <w:t>. 3,3.1.,3.2. наст</w:t>
      </w:r>
      <w:r>
        <w:rPr>
          <w:rFonts w:ascii="Verdana" w:hAnsi="Verdana"/>
          <w:sz w:val="16"/>
          <w:szCs w:val="16"/>
        </w:rPr>
        <w:t xml:space="preserve">оящего Договора, настоящий Договор является незаключенным и не порождает никаких юридических последствий, кроме последствий, связанных с его </w:t>
      </w:r>
      <w:r>
        <w:rPr>
          <w:rFonts w:ascii="Verdana" w:hAnsi="Verdana"/>
          <w:spacing w:val="-2"/>
          <w:sz w:val="16"/>
          <w:szCs w:val="16"/>
        </w:rPr>
        <w:t>незаключением</w:t>
      </w:r>
      <w:r>
        <w:rPr>
          <w:rFonts w:ascii="Verdana" w:hAnsi="Verdana"/>
          <w:spacing w:val="-2"/>
          <w:sz w:val="16"/>
          <w:szCs w:val="16"/>
        </w:rPr>
        <w:t>.</w:t>
      </w:r>
    </w:p>
    <w:p>
      <w:pPr>
        <w:pStyle w:val="ListParagraph"/>
        <w:numPr>
          <w:ilvl w:val="0"/>
          <w:numId w:val="2"/>
        </w:numPr>
        <w:tabs>
          <w:tab w:val="left" w:pos="937"/>
        </w:tabs>
        <w:ind w:right="274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  <w:szCs w:val="16"/>
        </w:rPr>
        <w:t>Порядок и срок передачи имущества покупателю. Имущество, включенное в Лот и указанное в п.1. настоящ</w:t>
      </w:r>
      <w:r>
        <w:rPr>
          <w:rFonts w:ascii="Verdana" w:hAnsi="Verdana"/>
          <w:sz w:val="16"/>
          <w:szCs w:val="16"/>
        </w:rPr>
        <w:t>его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договора,</w:t>
      </w:r>
      <w:r>
        <w:rPr>
          <w:rFonts w:ascii="Verdana" w:hAnsi="Verdana"/>
          <w:spacing w:val="-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передается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Покупателю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по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акту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приема-передачи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в</w:t>
      </w:r>
      <w:r>
        <w:rPr>
          <w:rFonts w:ascii="Verdana" w:hAnsi="Verdana"/>
          <w:spacing w:val="-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течение</w:t>
      </w:r>
      <w:r>
        <w:rPr>
          <w:rFonts w:ascii="Verdana" w:hAnsi="Verdana"/>
          <w:spacing w:val="-4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3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(трех)</w:t>
      </w:r>
      <w:r>
        <w:rPr>
          <w:rFonts w:ascii="Verdana" w:hAnsi="Verdana"/>
          <w:spacing w:val="-5"/>
          <w:sz w:val="16"/>
          <w:szCs w:val="16"/>
        </w:rPr>
        <w:t xml:space="preserve"> </w:t>
      </w:r>
      <w:r>
        <w:rPr>
          <w:rFonts w:ascii="Verdana" w:hAnsi="Verdana"/>
          <w:sz w:val="16"/>
          <w:szCs w:val="16"/>
        </w:rPr>
        <w:t>рабочих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дней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с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даты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оплаты полной стоимости имущества.</w:t>
      </w:r>
    </w:p>
    <w:p>
      <w:pPr>
        <w:pStyle w:val="BodyText"/>
        <w:spacing w:line="216" w:lineRule="auto"/>
        <w:ind w:right="287"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Обязательства Продавца по передаче Имущества считаются исполненными с момента подписания акта </w:t>
      </w:r>
      <w:r>
        <w:rPr>
          <w:rFonts w:ascii="Verdana" w:hAnsi="Verdana"/>
        </w:rPr>
        <w:t>приема-передачи Имущества. Право собственности на имущество переходит к покупателю с момента подписания акта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приема-передачи.</w:t>
      </w:r>
    </w:p>
    <w:p>
      <w:pPr>
        <w:pStyle w:val="ListParagraph"/>
        <w:numPr>
          <w:ilvl w:val="1"/>
          <w:numId w:val="2"/>
        </w:numPr>
        <w:tabs>
          <w:tab w:val="left" w:pos="1038"/>
        </w:tabs>
        <w:spacing w:line="216" w:lineRule="auto"/>
        <w:ind w:right="286" w:firstLine="720"/>
        <w:rPr>
          <w:rFonts w:ascii="Verdana" w:hAnsi="Verdana"/>
          <w:sz w:val="16"/>
        </w:rPr>
        <w:sectPr>
          <w:type w:val="continuous"/>
          <w:pgSz w:w="11910" w:h="16840"/>
          <w:pgMar w:top="540" w:right="566" w:bottom="280" w:left="1700" w:header="720" w:footer="720" w:gutter="0"/>
          <w:cols w:space="720"/>
        </w:sectPr>
      </w:pPr>
      <w:r>
        <w:rPr>
          <w:rFonts w:ascii="Verdana" w:hAnsi="Verdana"/>
          <w:sz w:val="16"/>
        </w:rPr>
        <w:t>В случае уклонения Покупателя от принятия имущества по договору купли-продажи и подписания акта приема-передачи так</w:t>
      </w:r>
      <w:r>
        <w:rPr>
          <w:rFonts w:ascii="Verdana" w:hAnsi="Verdana"/>
          <w:sz w:val="16"/>
        </w:rPr>
        <w:t>ого имущества, а также в случае уклонения Покупателя от государственной регистрации своих прав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на такое имущество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(что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может подтверждаться,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в частности, отсутствием у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Покупателя письменных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требований</w:t>
      </w:r>
    </w:p>
    <w:p>
      <w:pPr>
        <w:pStyle w:val="BodyText"/>
        <w:spacing w:before="96" w:line="216" w:lineRule="auto"/>
        <w:ind w:right="280"/>
        <w:jc w:val="both"/>
        <w:rPr>
          <w:rFonts w:ascii="Verdana" w:hAnsi="Verdana"/>
        </w:rPr>
      </w:pPr>
      <w:r>
        <w:rPr>
          <w:rFonts w:ascii="Verdana" w:hAnsi="Verdana"/>
        </w:rPr>
        <w:t>о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передаче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и/или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регистрации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такого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имущества,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предъявл</w:t>
      </w:r>
      <w:r>
        <w:rPr>
          <w:rFonts w:ascii="Verdana" w:hAnsi="Verdana"/>
        </w:rPr>
        <w:t>енных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и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врученных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Продавцу),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обязательства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Продавца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по передаче Имущества Покупателю считаются исполненными на 10 (десятый) день с момента направления Продавцом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 xml:space="preserve">в адрес Покупателя Акта приема-передачи имущества ценным письмом с описью вложения посредством </w:t>
      </w:r>
      <w:r>
        <w:rPr>
          <w:rFonts w:ascii="Verdana" w:hAnsi="Verdana"/>
        </w:rPr>
        <w:t>почты России или посредством электронной почты.</w:t>
      </w:r>
    </w:p>
    <w:p>
      <w:pPr>
        <w:pStyle w:val="BodyText"/>
        <w:spacing w:line="216" w:lineRule="auto"/>
        <w:ind w:right="283" w:firstLine="720"/>
        <w:jc w:val="both"/>
        <w:rPr>
          <w:rFonts w:ascii="Verdana" w:hAnsi="Verdana"/>
        </w:rPr>
      </w:pPr>
      <w:r>
        <w:rPr>
          <w:rFonts w:ascii="Verdana" w:hAnsi="Verdana"/>
        </w:rPr>
        <w:t>Право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собственности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имущество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таком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случае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переходит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от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Продавца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к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Покупателю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10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(десятый)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день с момента направления в адрес Покупателя Акта приема-передачи.</w:t>
      </w:r>
    </w:p>
    <w:p>
      <w:pPr>
        <w:pStyle w:val="ListParagraph"/>
        <w:numPr>
          <w:ilvl w:val="1"/>
          <w:numId w:val="2"/>
        </w:numPr>
        <w:tabs>
          <w:tab w:val="left" w:pos="1023"/>
        </w:tabs>
        <w:spacing w:line="216" w:lineRule="auto"/>
        <w:ind w:right="278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Стороны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обязуются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 xml:space="preserve">совершить </w:t>
      </w:r>
      <w:r>
        <w:rPr>
          <w:rFonts w:ascii="Verdana" w:hAnsi="Verdana"/>
          <w:sz w:val="16"/>
        </w:rPr>
        <w:t>действия, направленные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на государственную регистрацию перехода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прав собственности на имущество.</w:t>
      </w:r>
    </w:p>
    <w:p>
      <w:pPr>
        <w:pStyle w:val="BodyText"/>
        <w:spacing w:line="216" w:lineRule="auto"/>
        <w:ind w:right="293" w:firstLine="720"/>
        <w:jc w:val="both"/>
        <w:rPr>
          <w:rFonts w:ascii="Verdana" w:hAnsi="Verdana"/>
        </w:rPr>
      </w:pPr>
      <w:r>
        <w:rPr>
          <w:rFonts w:ascii="Verdana" w:hAnsi="Verdana"/>
        </w:rP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</w:t>
      </w:r>
      <w:r>
        <w:rPr>
          <w:rFonts w:ascii="Verdana" w:hAnsi="Verdana"/>
        </w:rPr>
        <w:t>арственной регистрации.</w:t>
      </w:r>
    </w:p>
    <w:p>
      <w:pPr>
        <w:pStyle w:val="ListParagraph"/>
        <w:numPr>
          <w:ilvl w:val="0"/>
          <w:numId w:val="2"/>
        </w:numPr>
        <w:tabs>
          <w:tab w:val="left" w:pos="914"/>
        </w:tabs>
        <w:spacing w:line="216" w:lineRule="auto"/>
        <w:ind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Сведения о наличии или об отсутствии обременений в отношении имущества, в том числе публичного сервитута: обременения отсутствуют.</w:t>
      </w:r>
    </w:p>
    <w:p>
      <w:pPr>
        <w:pStyle w:val="ListParagraph"/>
        <w:numPr>
          <w:ilvl w:val="0"/>
          <w:numId w:val="2"/>
        </w:numPr>
        <w:tabs>
          <w:tab w:val="left" w:pos="905"/>
        </w:tabs>
        <w:spacing w:line="216" w:lineRule="auto"/>
        <w:ind w:right="288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В случае нарушения Победителем/единственным участником торгов обязательств по оплате Имущества, включенного в Лот, </w:t>
      </w:r>
      <w:r>
        <w:rPr>
          <w:rFonts w:ascii="Verdana" w:hAnsi="Verdana"/>
          <w:sz w:val="16"/>
        </w:rPr>
        <w:t>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</w:t>
      </w:r>
      <w:r>
        <w:rPr>
          <w:rFonts w:ascii="Verdana" w:hAnsi="Verdana"/>
          <w:sz w:val="16"/>
        </w:rPr>
        <w:t>рекращаются, а Продавец освобождается от любого исполнения своих обязательств.</w:t>
      </w:r>
    </w:p>
    <w:p>
      <w:pPr>
        <w:pStyle w:val="BodyText"/>
        <w:spacing w:line="216" w:lineRule="auto"/>
        <w:ind w:right="289" w:firstLine="720"/>
        <w:jc w:val="both"/>
        <w:rPr>
          <w:rFonts w:ascii="Verdana" w:hAnsi="Verdana"/>
        </w:rPr>
      </w:pPr>
      <w:r>
        <w:rPr>
          <w:rFonts w:ascii="Verdana" w:hAnsi="Verdana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</w:t>
      </w:r>
      <w:r>
        <w:rPr>
          <w:rFonts w:ascii="Verdana" w:hAnsi="Verdana"/>
        </w:rPr>
        <w:t>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</w:t>
      </w:r>
      <w:r>
        <w:rPr>
          <w:rFonts w:ascii="Verdana" w:hAnsi="Verdana"/>
        </w:rPr>
        <w:t>ветствующее сообщение в ЕФРСБ.</w:t>
      </w:r>
    </w:p>
    <w:p>
      <w:pPr>
        <w:pStyle w:val="ListParagraph"/>
        <w:numPr>
          <w:ilvl w:val="0"/>
          <w:numId w:val="2"/>
        </w:numPr>
        <w:tabs>
          <w:tab w:val="left" w:pos="917"/>
        </w:tabs>
        <w:spacing w:line="216" w:lineRule="auto"/>
        <w:ind w:right="295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В случае неисполнения Сторонами обязательств, установленных настоящим договором, Стороны несут</w:t>
      </w:r>
      <w:r>
        <w:rPr>
          <w:rFonts w:ascii="Verdana" w:hAnsi="Verdana"/>
          <w:spacing w:val="40"/>
          <w:sz w:val="16"/>
        </w:rPr>
        <w:t xml:space="preserve"> </w:t>
      </w:r>
      <w:r>
        <w:rPr>
          <w:rFonts w:ascii="Verdana" w:hAnsi="Verdana"/>
          <w:sz w:val="16"/>
        </w:rPr>
        <w:t>ответственность в соответствии с действующим законодательством. Имущество возврату не подлежит.</w:t>
      </w:r>
    </w:p>
    <w:p>
      <w:pPr>
        <w:pStyle w:val="ListParagraph"/>
        <w:numPr>
          <w:ilvl w:val="0"/>
          <w:numId w:val="2"/>
        </w:numPr>
        <w:tabs>
          <w:tab w:val="left" w:pos="922"/>
        </w:tabs>
        <w:spacing w:line="216" w:lineRule="auto"/>
        <w:ind w:right="297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Настоящий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договор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составлен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4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(ч</w:t>
      </w:r>
      <w:r>
        <w:rPr>
          <w:rFonts w:ascii="Verdana" w:hAnsi="Verdana"/>
          <w:sz w:val="16"/>
        </w:rPr>
        <w:t>етырех)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экземплярах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вступает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силу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момента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его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 xml:space="preserve">подписания </w:t>
      </w:r>
      <w:r>
        <w:rPr>
          <w:rFonts w:ascii="Verdana" w:hAnsi="Verdana"/>
          <w:spacing w:val="-2"/>
          <w:sz w:val="16"/>
        </w:rPr>
        <w:t>Сторонами.</w:t>
      </w:r>
    </w:p>
    <w:p>
      <w:pPr>
        <w:pStyle w:val="ListParagraph"/>
        <w:numPr>
          <w:ilvl w:val="0"/>
          <w:numId w:val="2"/>
        </w:numPr>
        <w:tabs>
          <w:tab w:val="left" w:pos="898"/>
        </w:tabs>
        <w:spacing w:line="211" w:lineRule="exact"/>
        <w:ind w:left="898" w:right="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Реквизиты</w:t>
      </w:r>
      <w:r>
        <w:rPr>
          <w:rFonts w:ascii="Verdana" w:hAnsi="Verdana"/>
          <w:spacing w:val="3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4"/>
          <w:sz w:val="16"/>
        </w:rPr>
        <w:t xml:space="preserve"> </w:t>
      </w:r>
      <w:r>
        <w:rPr>
          <w:rFonts w:ascii="Verdana" w:hAnsi="Verdana"/>
          <w:sz w:val="16"/>
        </w:rPr>
        <w:t>подписи</w:t>
      </w:r>
      <w:r>
        <w:rPr>
          <w:rFonts w:ascii="Verdana" w:hAnsi="Verdana"/>
          <w:spacing w:val="5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сторон:</w:t>
      </w:r>
    </w:p>
    <w:p>
      <w:pPr>
        <w:pStyle w:val="Heading2"/>
        <w:spacing w:line="240" w:lineRule="auto"/>
        <w:ind w:firstLine="139"/>
        <w:rPr>
          <w:rFonts w:ascii="Verdana" w:hAnsi="Verdana"/>
        </w:rPr>
      </w:pPr>
      <w:r>
        <w:rPr>
          <w:rFonts w:ascii="Verdana" w:hAnsi="Verdana"/>
        </w:rPr>
        <w:t>Продавец: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Финансовый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управляющий Степанов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>
      <w:pPr>
        <w:pStyle w:val="BodyText"/>
        <w:spacing w:before="191"/>
        <w:ind w:left="2263"/>
        <w:rPr>
          <w:rFonts w:ascii="Verdana" w:hAnsi="Verdana"/>
        </w:rPr>
      </w:pPr>
      <w:r>
        <w:rPr>
          <w:rFonts w:ascii="Verdana" w:hAnsi="Verdana"/>
        </w:rPr>
        <w:t>Степанов</w:t>
      </w:r>
      <w:r>
        <w:rPr>
          <w:rFonts w:ascii="Verdana" w:hAnsi="Verdana"/>
          <w:spacing w:val="-3"/>
        </w:rPr>
        <w:t xml:space="preserve"> </w:t>
      </w:r>
      <w:r>
        <w:rPr>
          <w:rFonts w:ascii="Verdana" w:hAnsi="Verdana"/>
        </w:rPr>
        <w:t>Роман</w:t>
      </w:r>
      <w:r>
        <w:rPr>
          <w:rFonts w:ascii="Verdana" w:hAnsi="Verdana"/>
          <w:spacing w:val="-4"/>
        </w:rPr>
        <w:t xml:space="preserve"> </w:t>
      </w:r>
      <w:r>
        <w:rPr>
          <w:rFonts w:ascii="Verdana" w:hAnsi="Verdana"/>
          <w:spacing w:val="-2"/>
        </w:rPr>
        <w:t>Сергеевич</w:t>
      </w:r>
    </w:p>
    <w:p>
      <w:pPr>
        <w:spacing w:line="20" w:lineRule="exact"/>
        <w:ind w:left="140"/>
        <w:rPr>
          <w:rFonts w:ascii="Verdana" w:hAnsi="Verdana"/>
          <w:sz w:val="2"/>
        </w:rPr>
      </w:pPr>
      <w:r>
        <w:rPr>
          <w:rFonts w:ascii="Verdana" w:hAnsi="Verdana"/>
          <w:sz w:val="2"/>
        </w:rPr>
        <mc:AlternateContent>
          <mc:Choice Requires="wpg">
            <w:drawing xmlns:mc="http://schemas.openxmlformats.org/markup-compatibility/2006">
              <wp:inline distT="0" distB="0" distL="0" distR="0">
                <wp:extent cx="1029969" cy="6350"/>
                <wp:effectExtent l="0" t="0" r="0" b="0"/>
                <wp:docPr id="5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Pr id="4" name="Group 1"/>
                      <wpg:cNvGrpSpPr/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rect l="l" t="t" r="r" b="b"/>
                            <a:pathLst>
                              <a:path w="1029969" h="0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53750417-0D98-0B42-20E226622B20" coordsize="1029969,6350" style="width:81.0999pt;height:0.5pt;margin-top:0pt;margin-left:0pt;mso-wrap-distance-left:0pt;mso-wrap-distance-right:0pt;mso-wrap-distance-top:0pt;mso-wrap-distance-bottom:0pt;mso-position-horizontal-relative:margin;mso-position-vertical-relative:margin;rotation:0.000000;z-index:0;">
                <v:shape id="7D529BB7-9314-9205-C0460F3F6949" coordsize="21600,21600" style="width:1029969;height:1270;left:0;top:2967;rotation:0.000000;" strokecolor="#000000" strokeweight="0.467244pt" path="m0,0 l1029879,0 e">
                  <v:stroke/>
                  <o:lock/>
                </v:shape>
                <w10:wrap type="none" side="both"/>
                <o:lock/>
              </v:group>
            </w:pict>
          </mc:Fallback>
        </mc:AlternateContent>
      </w:r>
    </w:p>
    <w:p>
      <w:pPr>
        <w:spacing w:before="174" w:line="193" w:lineRule="exact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b/>
          <w:spacing w:val="-2"/>
          <w:sz w:val="16"/>
        </w:rPr>
        <w:t>Покупатель:</w:t>
      </w:r>
    </w:p>
    <w:p>
      <w:pPr>
        <w:tabs>
          <w:tab w:val="left" w:pos="1764"/>
        </w:tabs>
        <w:spacing w:line="193" w:lineRule="exact"/>
        <w:ind w:left="140"/>
        <w:rPr>
          <w:rFonts w:ascii="Verdana" w:hAnsi="Verdana"/>
          <w:b/>
          <w:sz w:val="16"/>
        </w:rPr>
      </w:pPr>
      <w:r>
        <w:rPr>
          <w:rFonts w:ascii="Verdana" w:hAnsi="Verdana"/>
          <w:sz w:val="16"/>
          <w:u w:val="single"/>
        </w:rPr>
        <w:tab/>
      </w:r>
      <w:r>
        <w:rPr>
          <w:rFonts w:ascii="Verdana" w:hAnsi="Verdana"/>
          <w:spacing w:val="-25"/>
          <w:sz w:val="16"/>
        </w:rPr>
        <w:t xml:space="preserve"> </w:t>
      </w:r>
      <w:r>
        <w:rPr>
          <w:rFonts w:ascii="Verdana" w:hAnsi="Verdana"/>
          <w:b/>
          <w:sz w:val="16"/>
        </w:rPr>
        <w:t>паспортные</w:t>
      </w:r>
      <w:r>
        <w:rPr>
          <w:rFonts w:ascii="Verdana" w:hAnsi="Verdana"/>
          <w:b/>
          <w:spacing w:val="-6"/>
          <w:sz w:val="16"/>
        </w:rPr>
        <w:t xml:space="preserve"> </w:t>
      </w:r>
      <w:r>
        <w:rPr>
          <w:rFonts w:ascii="Verdana" w:hAnsi="Verdana"/>
          <w:b/>
          <w:sz w:val="16"/>
        </w:rPr>
        <w:t>данные</w:t>
      </w:r>
      <w:r>
        <w:rPr>
          <w:rFonts w:ascii="Verdana" w:hAnsi="Verdana"/>
          <w:b/>
          <w:spacing w:val="-5"/>
          <w:sz w:val="16"/>
        </w:rPr>
        <w:t xml:space="preserve"> </w:t>
      </w:r>
      <w:r>
        <w:rPr>
          <w:rFonts w:ascii="Verdana" w:hAnsi="Verdana"/>
          <w:b/>
          <w:sz w:val="16"/>
        </w:rPr>
        <w:t>дата</w:t>
      </w:r>
      <w:r>
        <w:rPr>
          <w:rFonts w:ascii="Verdana" w:hAnsi="Verdana"/>
          <w:b/>
          <w:spacing w:val="-1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место</w:t>
      </w:r>
      <w:r>
        <w:rPr>
          <w:rFonts w:ascii="Verdana" w:hAnsi="Verdana"/>
          <w:b/>
          <w:spacing w:val="-3"/>
          <w:sz w:val="16"/>
        </w:rPr>
        <w:t xml:space="preserve"> </w:t>
      </w:r>
      <w:r>
        <w:rPr>
          <w:rFonts w:ascii="Verdana" w:hAnsi="Verdana"/>
          <w:b/>
          <w:sz w:val="16"/>
        </w:rPr>
        <w:t>рождения</w:t>
      </w: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>
      <w:pPr>
        <w:pStyle w:val="BodyText"/>
        <w:ind w:left="0"/>
        <w:rPr>
          <w:b/>
          <w:sz w:val="2"/>
        </w:rPr>
      </w:pPr>
    </w:p>
    <w:sectPr>
      <w:pgSz w:w="11910" w:h="16840"/>
      <w:pgMar w:top="320" w:right="566" w:bottom="28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alibri">
    <w:panose1 w:val="020f0502020204030204"/>
    <w:charset w:val="cc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cc"/>
    <w:family w:val="roman"/>
    <w:pitch w:val="variable"/>
    <w:sig w:usb0="00000000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Verdana">
    <w:panose1 w:val="020b0604030504040204"/>
    <w:charset w:val="cc"/>
    <w:family w:val="swiss"/>
    <w:pitch w:val="variable"/>
    <w:sig w:usb0="00000000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00000000" w:usb1="00000000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tahoma">
    <w:charset w:val="00"/>
  </w:font>
  <w:font w:name="Segoe UI">
    <w:charset w:val="00"/>
  </w:font>
  <w:font w:name="system-u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decimal"/>
      <w:lvlText w:val="%1."/>
      <w:lvlJc w:val="left"/>
      <w:pPr>
        <w:ind w:left="723" w:hanging="696"/>
      </w:pPr>
      <w:rPr>
        <w:rFonts w:ascii="Noto Sans" w:cs="Noto Sans" w:eastAsia="Noto Sans" w:hAnsi="Noto Sans" w:hint="default"/>
        <w:b w:val="off"/>
        <w:bCs w:val="off"/>
        <w:i w:val="off"/>
        <w:iCs w:val="off"/>
        <w:spacing w:val="-1"/>
        <w:w w:val="100"/>
        <w:sz w:val="16"/>
        <w:szCs w:val="16"/>
        <w:lang w:val="ru-RU" w:bidi="ar-SA" w:eastAsia="en-US"/>
      </w:rPr>
    </w:lvl>
    <w:lvl w:ilvl="1" w:tentative="0">
      <w:start w:val="0"/>
      <w:numFmt w:val="bullet"/>
      <w:lvlText w:val="•"/>
      <w:lvlJc w:val="left"/>
      <w:pPr>
        <w:ind w:left="1612" w:hanging="696"/>
      </w:pPr>
      <w:rPr>
        <w:rFonts w:hint="default"/>
        <w:lang w:val="ru-RU" w:bidi="ar-SA" w:eastAsia="en-US"/>
      </w:rPr>
    </w:lvl>
    <w:lvl w:ilvl="2" w:tentative="0">
      <w:start w:val="0"/>
      <w:numFmt w:val="bullet"/>
      <w:lvlText w:val="•"/>
      <w:lvlJc w:val="left"/>
      <w:pPr>
        <w:ind w:left="2504" w:hanging="696"/>
      </w:pPr>
      <w:rPr>
        <w:rFonts w:hint="default"/>
        <w:lang w:val="ru-RU" w:bidi="ar-SA" w:eastAsia="en-US"/>
      </w:rPr>
    </w:lvl>
    <w:lvl w:ilvl="3" w:tentative="0">
      <w:start w:val="0"/>
      <w:numFmt w:val="bullet"/>
      <w:lvlText w:val="•"/>
      <w:lvlJc w:val="left"/>
      <w:pPr>
        <w:ind w:left="3396" w:hanging="696"/>
      </w:pPr>
      <w:rPr>
        <w:rFonts w:hint="default"/>
        <w:lang w:val="ru-RU" w:bidi="ar-SA" w:eastAsia="en-US"/>
      </w:rPr>
    </w:lvl>
    <w:lvl w:ilvl="4" w:tentative="0">
      <w:start w:val="0"/>
      <w:numFmt w:val="bullet"/>
      <w:lvlText w:val="•"/>
      <w:lvlJc w:val="left"/>
      <w:pPr>
        <w:ind w:left="4288" w:hanging="696"/>
      </w:pPr>
      <w:rPr>
        <w:rFonts w:hint="default"/>
        <w:lang w:val="ru-RU" w:bidi="ar-SA" w:eastAsia="en-US"/>
      </w:rPr>
    </w:lvl>
    <w:lvl w:ilvl="5" w:tentative="0">
      <w:start w:val="0"/>
      <w:numFmt w:val="bullet"/>
      <w:lvlText w:val="•"/>
      <w:lvlJc w:val="left"/>
      <w:pPr>
        <w:ind w:left="5180" w:hanging="696"/>
      </w:pPr>
      <w:rPr>
        <w:rFonts w:hint="default"/>
        <w:lang w:val="ru-RU" w:bidi="ar-SA" w:eastAsia="en-US"/>
      </w:rPr>
    </w:lvl>
    <w:lvl w:ilvl="6" w:tentative="0">
      <w:start w:val="0"/>
      <w:numFmt w:val="bullet"/>
      <w:lvlText w:val="•"/>
      <w:lvlJc w:val="left"/>
      <w:pPr>
        <w:ind w:left="6072" w:hanging="696"/>
      </w:pPr>
      <w:rPr>
        <w:rFonts w:hint="default"/>
        <w:lang w:val="ru-RU" w:bidi="ar-SA" w:eastAsia="en-US"/>
      </w:rPr>
    </w:lvl>
    <w:lvl w:ilvl="7" w:tentative="0">
      <w:start w:val="0"/>
      <w:numFmt w:val="bullet"/>
      <w:lvlText w:val="•"/>
      <w:lvlJc w:val="left"/>
      <w:pPr>
        <w:ind w:left="6964" w:hanging="696"/>
      </w:pPr>
      <w:rPr>
        <w:rFonts w:hint="default"/>
        <w:lang w:val="ru-RU" w:bidi="ar-SA" w:eastAsia="en-US"/>
      </w:rPr>
    </w:lvl>
    <w:lvl w:ilvl="8" w:tentative="0">
      <w:start w:val="0"/>
      <w:numFmt w:val="bullet"/>
      <w:lvlText w:val="•"/>
      <w:lvlJc w:val="left"/>
      <w:pPr>
        <w:ind w:left="7856" w:hanging="696"/>
      </w:pPr>
      <w:rPr>
        <w:rFonts w:hint="default"/>
        <w:lang w:val="ru-RU" w:bidi="ar-SA" w:eastAsia="en-US"/>
      </w:rPr>
    </w:lvl>
  </w:abstractNum>
  <w:abstractNum w:abstractNumId="1">
    <w:multiLevelType w:val="multilevel"/>
    <w:lvl w:ilvl="0" w:tentative="0">
      <w:start w:val="1"/>
      <w:numFmt w:val="decimal"/>
      <w:lvlText w:val="%1."/>
      <w:lvlJc w:val="left"/>
      <w:pPr>
        <w:ind w:left="3" w:hanging="175"/>
      </w:pPr>
      <w:rPr>
        <w:rFonts w:ascii="Noto Sans" w:cs="Noto Sans" w:eastAsia="Noto Sans" w:hAnsi="Noto Sans" w:hint="default"/>
        <w:b w:val="off"/>
        <w:bCs w:val="off"/>
        <w:i w:val="off"/>
        <w:iCs w:val="off"/>
        <w:spacing w:val="-1"/>
        <w:w w:val="100"/>
        <w:sz w:val="16"/>
        <w:szCs w:val="16"/>
        <w:lang w:val="ru-RU" w:bidi="ar-SA" w:eastAsia="en-US"/>
      </w:rPr>
    </w:lvl>
    <w:lvl w:ilvl="1" w:tentative="0">
      <w:start w:val="1"/>
      <w:numFmt w:val="decimal"/>
      <w:lvlText w:val="%1.%2."/>
      <w:lvlJc w:val="left"/>
      <w:pPr>
        <w:ind w:left="3" w:hanging="327"/>
      </w:pPr>
      <w:rPr>
        <w:rFonts w:ascii="Noto Sans" w:cs="Noto Sans" w:eastAsia="Noto Sans" w:hAnsi="Noto Sans" w:hint="default"/>
        <w:b w:val="off"/>
        <w:bCs w:val="off"/>
        <w:i w:val="off"/>
        <w:iCs w:val="off"/>
        <w:spacing w:val="-1"/>
        <w:w w:val="100"/>
        <w:sz w:val="16"/>
        <w:szCs w:val="16"/>
        <w:lang w:val="ru-RU" w:bidi="ar-SA" w:eastAsia="en-US"/>
      </w:rPr>
    </w:lvl>
    <w:lvl w:ilvl="2" w:tentative="0">
      <w:start w:val="0"/>
      <w:numFmt w:val="bullet"/>
      <w:lvlText w:val="•"/>
      <w:lvlJc w:val="left"/>
      <w:pPr>
        <w:ind w:left="1928" w:hanging="327"/>
      </w:pPr>
      <w:rPr>
        <w:rFonts w:hint="default"/>
        <w:lang w:val="ru-RU" w:bidi="ar-SA" w:eastAsia="en-US"/>
      </w:rPr>
    </w:lvl>
    <w:lvl w:ilvl="3" w:tentative="0">
      <w:start w:val="0"/>
      <w:numFmt w:val="bullet"/>
      <w:lvlText w:val="•"/>
      <w:lvlJc w:val="left"/>
      <w:pPr>
        <w:ind w:left="2892" w:hanging="327"/>
      </w:pPr>
      <w:rPr>
        <w:rFonts w:hint="default"/>
        <w:lang w:val="ru-RU" w:bidi="ar-SA" w:eastAsia="en-US"/>
      </w:rPr>
    </w:lvl>
    <w:lvl w:ilvl="4" w:tentative="0">
      <w:start w:val="0"/>
      <w:numFmt w:val="bullet"/>
      <w:lvlText w:val="•"/>
      <w:lvlJc w:val="left"/>
      <w:pPr>
        <w:ind w:left="3856" w:hanging="327"/>
      </w:pPr>
      <w:rPr>
        <w:rFonts w:hint="default"/>
        <w:lang w:val="ru-RU" w:bidi="ar-SA" w:eastAsia="en-US"/>
      </w:rPr>
    </w:lvl>
    <w:lvl w:ilvl="5" w:tentative="0">
      <w:start w:val="0"/>
      <w:numFmt w:val="bullet"/>
      <w:lvlText w:val="•"/>
      <w:lvlJc w:val="left"/>
      <w:pPr>
        <w:ind w:left="4820" w:hanging="327"/>
      </w:pPr>
      <w:rPr>
        <w:rFonts w:hint="default"/>
        <w:lang w:val="ru-RU" w:bidi="ar-SA" w:eastAsia="en-US"/>
      </w:rPr>
    </w:lvl>
    <w:lvl w:ilvl="6" w:tentative="0">
      <w:start w:val="0"/>
      <w:numFmt w:val="bullet"/>
      <w:lvlText w:val="•"/>
      <w:lvlJc w:val="left"/>
      <w:pPr>
        <w:ind w:left="5784" w:hanging="327"/>
      </w:pPr>
      <w:rPr>
        <w:rFonts w:hint="default"/>
        <w:lang w:val="ru-RU" w:bidi="ar-SA" w:eastAsia="en-US"/>
      </w:rPr>
    </w:lvl>
    <w:lvl w:ilvl="7" w:tentative="0">
      <w:start w:val="0"/>
      <w:numFmt w:val="bullet"/>
      <w:lvlText w:val="•"/>
      <w:lvlJc w:val="left"/>
      <w:pPr>
        <w:ind w:left="6748" w:hanging="327"/>
      </w:pPr>
      <w:rPr>
        <w:rFonts w:hint="default"/>
        <w:lang w:val="ru-RU" w:bidi="ar-SA" w:eastAsia="en-US"/>
      </w:rPr>
    </w:lvl>
    <w:lvl w:ilvl="8" w:tentative="0">
      <w:start w:val="0"/>
      <w:numFmt w:val="bullet"/>
      <w:lvlText w:val="•"/>
      <w:lvlJc w:val="left"/>
      <w:pPr>
        <w:ind w:left="7712" w:hanging="327"/>
      </w:pPr>
      <w:rPr>
        <w:rFonts w:hint="default"/>
        <w:lang w:val="ru-RU" w:bidi="ar-SA" w:eastAsia="en-U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1C7"/>
    <w:rsid w:val="008900F0"/>
    <w:rsid w:val="00A701C7"/>
    <w:rsid w:val="00EF4FE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5156072"/>
  <w15:docId w15:val="{E3E2C203-6477-406C-9005-01FF388A53E4}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en-US" w:bidi="ar-SA" w:eastAsia="en-US"/>
      </w:rPr>
    </w:rPrDefault>
    <w:pPrDefault>
      <w:pPr>
        <w:widowControl w:val="off"/>
      </w:pPr>
    </w:pPrDefault>
  </w:docDefaults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paragraph" w:default="1" w:styleId="Normal">
    <w:name w:val="Normal"/>
    <w:uiPriority w:val="99"/>
    <w:qFormat w:val="on"/>
    <w:rPr>
      <w:rFonts w:ascii="Noto Sans" w:cs="Noto Sans" w:eastAsia="Noto Sans" w:hAnsi="Noto Sans"/>
      <w:lang w:val="ru-RU"/>
    </w:rPr>
  </w:style>
  <w:style w:type="paragraph" w:styleId="Heading1">
    <w:name w:val="Heading 1"/>
    <w:basedOn w:val="Normal"/>
    <w:link w:val="Заголовок1Знак"/>
    <w:uiPriority w:val="9"/>
    <w:qFormat w:val="on"/>
    <w:pPr>
      <w:ind w:left="1028" w:right="277"/>
      <w:jc w:val="center"/>
    </w:pPr>
    <w:rPr>
      <w:b/>
      <w:bCs/>
      <w:sz w:val="24"/>
      <w:szCs w:val="24"/>
    </w:rPr>
  </w:style>
  <w:style w:type="paragraph" w:styleId="Heading2">
    <w:name w:val="Heading 2"/>
    <w:basedOn w:val="Normal"/>
    <w:link w:val="Заголовок2Знак"/>
    <w:uiPriority w:val="9"/>
    <w:unhideWhenUsed w:val="on"/>
    <w:qFormat w:val="on"/>
    <w:pPr>
      <w:spacing w:line="231" w:lineRule="exact"/>
      <w:ind w:left="3"/>
    </w:pPr>
    <w:rPr>
      <w:b/>
      <w:bCs/>
      <w:sz w:val="16"/>
      <w:szCs w:val="16"/>
    </w:rPr>
  </w:style>
  <w:style w:type="paragraph" w:styleId="Heading3">
    <w:name w:val="Heading 3"/>
    <w:basedOn w:val="Normal"/>
    <w:next w:val="Normal"/>
    <w:link w:val="Заголовок3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color w:val="4f81bd" w:themeColor="accent1"/>
    </w:rPr>
  </w:style>
  <w:style w:type="paragraph" w:styleId="Heading4">
    <w:name w:val="Heading 4"/>
    <w:basedOn w:val="Normal"/>
    <w:next w:val="Normal"/>
    <w:link w:val="Заголовок4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Заголовок5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243f60" w:themeColor="accent1" w:themeShade="7f"/>
    </w:rPr>
  </w:style>
  <w:style w:type="paragraph" w:styleId="Heading6">
    <w:name w:val="Heading 6"/>
    <w:basedOn w:val="Normal"/>
    <w:next w:val="Normal"/>
    <w:link w:val="Заголовок6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Заголовок7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Заголовок8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Заголовок9Знак"/>
    <w:uiPriority w:val="9"/>
    <w:semiHidden w:val="on"/>
    <w:unhideWhenUsed w:val="on"/>
    <w:qFormat w:val="on"/>
    <w:pPr>
      <w:keepNext w:val="on"/>
      <w:keepLines w:val="on"/>
      <w:spacing w:before="20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</w:style>
  <w:style w:type="character" w:customStyle="1" w:styleId="Заголовок1Знак">
    <w:name w:val="Заголовок 1 Знак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376091" w:themeColor="accent1" w:themeShade="bf"/>
      <w:sz w:val="28"/>
      <w:szCs w:val="28"/>
    </w:rPr>
  </w:style>
  <w:style w:type="character" w:customStyle="1" w:styleId="Заголовок2Знак">
    <w:name w:val="Заголовок 2 Знак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customStyle="1" w:styleId="Заголовок3Знак">
    <w:name w:val="Заголовок 3 Знак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f81bd" w:themeColor="accent1"/>
    </w:rPr>
  </w:style>
  <w:style w:type="character" w:customStyle="1" w:styleId="Заголовок4Знак">
    <w:name w:val="Заголовок 4 Знак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f81bd" w:themeColor="accent1"/>
    </w:rPr>
  </w:style>
  <w:style w:type="character" w:customStyle="1" w:styleId="Заголовок5Знак">
    <w:name w:val="Заголовок 5 Знак"/>
    <w:basedOn w:val="DefaultParagraphFont"/>
    <w:link w:val="Heading5"/>
    <w:uiPriority w:val="9"/>
    <w:rPr>
      <w:rFonts w:asciiTheme="majorHAnsi" w:cstheme="majorBidi" w:eastAsiaTheme="majorEastAsia" w:hAnsiTheme="majorHAnsi"/>
      <w:color w:val="243f60" w:themeColor="accent1" w:themeShade="7f"/>
    </w:rPr>
  </w:style>
  <w:style w:type="character" w:customStyle="1" w:styleId="Заголовок6Знак">
    <w:name w:val="Заголовок 6 Знак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243f60" w:themeColor="accent1" w:themeShade="7f"/>
    </w:rPr>
  </w:style>
  <w:style w:type="character" w:customStyle="1" w:styleId="Заголовок7Знак">
    <w:name w:val="Заголовок 7 Знак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Заголовок8Знак">
    <w:name w:val="Заголовок 8 Знак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Заголовок9Знак">
    <w:name w:val="Заголовок 9 Знак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ЗаголовокЗнак"/>
    <w:uiPriority w:val="10"/>
    <w:qFormat w:val="on"/>
    <w:pPr>
      <w:pBdr>
        <w:bottom w:val="single" w:color="4f81bd" w:themeColor="accent1" w:sz="8" w:space="4"/>
      </w:pBdr>
      <w:spacing w:after="300"/>
      <w:contextualSpacing w:val="on"/>
    </w:pPr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character" w:customStyle="1" w:styleId="ЗаголовокЗнак">
    <w:name w:val="Заголовок Знак"/>
    <w:basedOn w:val="DefaultParagraphFont"/>
    <w:link w:val="Title"/>
    <w:uiPriority w:val="10"/>
    <w:rPr>
      <w:rFonts w:asciiTheme="majorHAnsi" w:cstheme="majorBidi" w:eastAsiaTheme="majorEastAsia" w:hAnsiTheme="majorHAnsi"/>
      <w:color w:val="1737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ПодзаголовокЗнак"/>
    <w:uiPriority w:val="11"/>
    <w:qFormat w:val="on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customStyle="1" w:styleId="ПодзаголовокЗнак">
    <w:name w:val="Подзаголовок Знак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f81bd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Цитата2Знак"/>
    <w:uiPriority w:val="29"/>
    <w:qFormat w:val="on"/>
    <w:rPr>
      <w:i/>
      <w:iCs/>
      <w:color w:val="000000" w:themeColor="text1"/>
    </w:rPr>
  </w:style>
  <w:style w:type="character" w:customStyle="1" w:styleId="Цитата2Знак">
    <w:name w:val="Цитата 2 Знак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ВыделеннаяцитатаЗнак"/>
    <w:uiPriority w:val="30"/>
    <w:qFormat w:val="on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ВыделеннаяцитатаЗнак">
    <w:name w:val="Выделенная цитата Знак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Footnotetext">
    <w:name w:val="Footnote text"/>
    <w:basedOn w:val="Normal"/>
    <w:link w:val="ТекстсноскиЗнак"/>
    <w:uiPriority w:val="99"/>
    <w:semiHidden w:val="on"/>
    <w:unhideWhenUsed w:val="on"/>
    <w:rPr>
      <w:sz w:val="20"/>
      <w:szCs w:val="20"/>
    </w:rPr>
  </w:style>
  <w:style w:type="character" w:customStyle="1" w:styleId="ТекстсноскиЗнак">
    <w:name w:val="Текст сноски Знак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ТекстконцевойсноскиЗнак"/>
    <w:uiPriority w:val="99"/>
    <w:semiHidden w:val="on"/>
    <w:unhideWhenUsed w:val="on"/>
    <w:rPr>
      <w:sz w:val="20"/>
      <w:szCs w:val="20"/>
    </w:rPr>
  </w:style>
  <w:style w:type="character" w:customStyle="1" w:styleId="ТекстконцевойсноскиЗнак">
    <w:name w:val="Текст концевой сноски Знак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000ff" w:themeColor="hyperlink"/>
      <w:u w:val="single"/>
    </w:rPr>
  </w:style>
  <w:style w:type="paragraph" w:styleId="PlainText">
    <w:name w:val="Plain Text"/>
    <w:basedOn w:val="Normal"/>
    <w:link w:val="ТекстЗнак"/>
    <w:uiPriority w:val="99"/>
    <w:semiHidden w:val="on"/>
    <w:unhideWhenUsed w:val="on"/>
    <w:rPr>
      <w:rFonts w:ascii="Courier New" w:cs="Courier New" w:hAnsi="Courier New"/>
      <w:sz w:val="21"/>
      <w:szCs w:val="21"/>
    </w:rPr>
  </w:style>
  <w:style w:type="character" w:customStyle="1" w:styleId="ТекстЗнак">
    <w:name w:val="Текст Знак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ВерхнийколонтитулЗнак"/>
    <w:uiPriority w:val="99"/>
    <w:unhideWhenUsed w:val="on"/>
  </w:style>
  <w:style w:type="character" w:customStyle="1" w:styleId="ВерхнийколонтитулЗнак">
    <w:name w:val="Верхний колонтитул Знак"/>
    <w:basedOn w:val="DefaultParagraphFont"/>
    <w:link w:val="Header"/>
    <w:uiPriority w:val="99"/>
  </w:style>
  <w:style w:type="paragraph" w:styleId="Footer">
    <w:name w:val="Footer"/>
    <w:basedOn w:val="Normal"/>
    <w:link w:val="НижнийколонтитулЗнак"/>
    <w:uiPriority w:val="99"/>
    <w:unhideWhenUsed w:val="on"/>
  </w:style>
  <w:style w:type="character" w:customStyle="1" w:styleId="НижнийколонтитулЗнак">
    <w:name w:val="Нижний колонтитул Знак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_0">
    <w:name w:val="Table Normal_0"/>
    <w:uiPriority w:val="2"/>
    <w:semiHidden w:val="on"/>
    <w:unhideWhenUsed w:val="on"/>
    <w:qFormat w:val="on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 w:val="on"/>
    <w:pPr>
      <w:ind w:left="3"/>
    </w:pPr>
    <w:rPr>
      <w:sz w:val="16"/>
      <w:szCs w:val="16"/>
    </w:rPr>
  </w:style>
  <w:style w:type="paragraph" w:styleId="ListParagraph">
    <w:name w:val="List Paragraph"/>
    <w:basedOn w:val="Normal"/>
    <w:uiPriority w:val="1"/>
    <w:qFormat w:val="on"/>
    <w:pPr>
      <w:ind w:left="3" w:right="293" w:firstLine="720"/>
      <w:jc w:val="both"/>
    </w:pPr>
  </w:style>
  <w:style w:type="paragraph" w:customStyle="1" w:styleId="TableParagraph">
    <w:name w:val="Table Paragraph"/>
    <w:basedOn w:val="Normal"/>
    <w:uiPriority w:val="1"/>
    <w:qFormat w:val="on"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3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styles" Target="styles.xml"/><Relationship Id="rId2" Type="http://schemas.openxmlformats.org/officeDocument/2006/relationships/webSettings" Target="webSettings.xml"/><Relationship Id="rId4" Type="http://schemas.openxmlformats.org/officeDocument/2006/relationships/hyperlink" Target="mailto:bankrot@au.spb.ru" TargetMode="External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1674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Валерия Антонова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