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ДОГОВОР № </w:t>
      </w:r>
      <w:r>
        <w:rPr>
          <w:rFonts w:ascii="Calibri" w:hAnsi="Calibri"/>
          <w:b/>
          <w:bCs/>
          <w:sz w:val="24"/>
          <w:szCs w:val="24"/>
        </w:rPr>
        <w:t>____</w:t>
      </w:r>
    </w:p>
    <w:p>
      <w:pPr>
        <w:pStyle w:val="Normal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купли-продажи имущества на торгах</w:t>
      </w:r>
    </w:p>
    <w:p>
      <w:pPr>
        <w:pStyle w:val="Normal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</w:r>
    </w:p>
    <w:tbl>
      <w:tblPr>
        <w:tblW w:w="939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1" w:noVBand="1" w:lastRow="0" w:firstColumn="1" w:lastColumn="0" w:noHBand="0" w:val="04a0"/>
      </w:tblPr>
      <w:tblGrid>
        <w:gridCol w:w="4281"/>
        <w:gridCol w:w="5117"/>
      </w:tblGrid>
      <w:tr>
        <w:trPr>
          <w:trHeight w:val="80" w:hRule="atLeast"/>
          <w:cantSplit w:val="true"/>
        </w:trPr>
        <w:tc>
          <w:tcPr>
            <w:tcW w:w="4281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г. </w:t>
            </w:r>
            <w:r>
              <w:rPr>
                <w:rFonts w:ascii="Calibri" w:hAnsi="Calibri"/>
              </w:rPr>
              <w:t>_________________</w:t>
            </w:r>
          </w:p>
        </w:tc>
        <w:tc>
          <w:tcPr>
            <w:tcW w:w="5117" w:type="dxa"/>
            <w:tcBorders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"_____" __________________  20___ г.</w:t>
            </w:r>
          </w:p>
        </w:tc>
      </w:tr>
    </w:tbl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firstLine="1080"/>
        <w:jc w:val="both"/>
        <w:rPr>
          <w:rFonts w:ascii="Calibri" w:hAnsi="Calibri"/>
        </w:rPr>
      </w:pPr>
      <w:r>
        <w:rPr>
          <w:rFonts w:ascii="Calibri" w:hAnsi="Calibri"/>
        </w:rPr>
        <w:t>ООО «</w:t>
      </w:r>
      <w:r>
        <w:rPr>
          <w:rFonts w:ascii="Calibri" w:hAnsi="Calibri"/>
        </w:rPr>
        <w:t>Забнефтесервис</w:t>
      </w:r>
      <w:r>
        <w:rPr>
          <w:rFonts w:ascii="Calibri" w:hAnsi="Calibri"/>
        </w:rPr>
        <w:t>», именуемое в дальнейшем "</w:t>
      </w:r>
      <w:r>
        <w:rPr>
          <w:rFonts w:ascii="Calibri" w:hAnsi="Calibri"/>
          <w:b/>
        </w:rPr>
        <w:t>Продавец"</w:t>
      </w:r>
      <w:r>
        <w:rPr>
          <w:rFonts w:ascii="Calibri" w:hAnsi="Calibri"/>
        </w:rPr>
        <w:t xml:space="preserve">, в лице конкурсного управляющего </w:t>
      </w:r>
      <w:r>
        <w:rPr>
          <w:rFonts w:ascii="Calibri" w:hAnsi="Calibri"/>
        </w:rPr>
        <w:t>Жаркова Алексея Викторовича</w:t>
      </w:r>
      <w:r>
        <w:rPr>
          <w:rFonts w:ascii="Calibri" w:hAnsi="Calibri"/>
        </w:rPr>
        <w:t xml:space="preserve">, действующего на основании решения Арбитражного суда  </w:t>
      </w:r>
      <w:r>
        <w:rPr>
          <w:rFonts w:ascii="Calibri" w:hAnsi="Calibri"/>
        </w:rPr>
        <w:t xml:space="preserve">Забайкальского края </w:t>
      </w:r>
      <w:r>
        <w:rPr>
          <w:rFonts w:ascii="Calibri" w:hAnsi="Calibri"/>
        </w:rPr>
        <w:t xml:space="preserve">по делу №А78-2043/2024 от </w:t>
      </w:r>
      <w:r>
        <w:rPr>
          <w:rFonts w:ascii="Calibri" w:hAnsi="Calibri"/>
        </w:rPr>
        <w:t>18.11.2024</w:t>
      </w:r>
      <w:r>
        <w:rPr>
          <w:rFonts w:ascii="Calibri" w:hAnsi="Calibri"/>
        </w:rPr>
        <w:t>, с одной стороны и</w:t>
      </w:r>
    </w:p>
    <w:p>
      <w:pPr>
        <w:pStyle w:val="Normal"/>
        <w:ind w:firstLine="1080"/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__________________________________________________________________________________, именуемый в дальнейшем "</w:t>
      </w:r>
      <w:r>
        <w:rPr>
          <w:rFonts w:ascii="Calibri" w:hAnsi="Calibri"/>
          <w:b/>
        </w:rPr>
        <w:t>Покупатель"</w:t>
      </w:r>
      <w:r>
        <w:rPr>
          <w:rFonts w:ascii="Calibri" w:hAnsi="Calibri"/>
        </w:rPr>
        <w:t>, в лице  __________________________________с другой стороны,</w:t>
      </w:r>
    </w:p>
    <w:p>
      <w:pPr>
        <w:pStyle w:val="Normal"/>
        <w:ind w:firstLine="1080"/>
        <w:jc w:val="both"/>
        <w:rPr>
          <w:rFonts w:ascii="Calibri" w:hAnsi="Calibri"/>
        </w:rPr>
      </w:pPr>
      <w:r>
        <w:rPr>
          <w:rFonts w:ascii="Calibri" w:hAnsi="Calibri"/>
        </w:rPr>
        <w:t>вместе именуемые "</w:t>
      </w:r>
      <w:r>
        <w:rPr>
          <w:rFonts w:ascii="Calibri" w:hAnsi="Calibri"/>
          <w:b/>
        </w:rPr>
        <w:t>Стороны"</w:t>
      </w:r>
      <w:r>
        <w:rPr>
          <w:rFonts w:ascii="Calibri" w:hAnsi="Calibri"/>
        </w:rPr>
        <w:t>, на основании Протокола №______ от ___________ г. подведения итогов торгов (далее Протокол) заключили настоящий Договор купли-продажи имущества с торгов (далее Договор) о нижеследующем:</w:t>
      </w:r>
    </w:p>
    <w:p>
      <w:pPr>
        <w:pStyle w:val="Normal"/>
        <w:ind w:firstLine="108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37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ПРЕДМЕТ КУПЛИ-ПРОДАЖИ</w:t>
      </w:r>
    </w:p>
    <w:p>
      <w:pPr>
        <w:pStyle w:val="Normal"/>
        <w:numPr>
          <w:ilvl w:val="1"/>
          <w:numId w:val="38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Продавец </w:t>
      </w:r>
      <w:r>
        <w:rPr>
          <w:rFonts w:ascii="Calibri" w:hAnsi="Calibri"/>
        </w:rPr>
        <w:t>продает Покупателю, а Покупатель принимает и оплачивает следующее имущество – 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numPr>
          <w:ilvl w:val="1"/>
          <w:numId w:val="39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  <w:bCs/>
        </w:rPr>
        <w:t>Обременения в отношении Имущества, ранее наложенные аресты на Имущество должника и иные ограничения распоряжения имуществом должника снимаются в силу п.1 ст.126 ФЗ№127 "О несостоятельности (банкротстве)". Основанием для снятия ареста на Имущество должника является решение суда о признании должника банкротом и об открытии конкурсного производства (п.1 ст.126 ФЗ№127 "О несостоятельности (банкротстве)" ).</w:t>
      </w:r>
    </w:p>
    <w:p>
      <w:pPr>
        <w:pStyle w:val="Normal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numPr>
          <w:ilvl w:val="0"/>
          <w:numId w:val="40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СТОИМОСТЬ ИМУЩЕСТВА И ПОРЯДОК ЕГО ОПЛАТЫ</w:t>
      </w:r>
    </w:p>
    <w:p>
      <w:pPr>
        <w:pStyle w:val="Normal"/>
        <w:numPr>
          <w:ilvl w:val="1"/>
          <w:numId w:val="41"/>
        </w:numPr>
        <w:ind w:hanging="480" w:left="48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Общая стоимость Имущества составляет _______________________ руб. _______ коп.</w:t>
      </w:r>
    </w:p>
    <w:p>
      <w:pPr>
        <w:pStyle w:val="Normal"/>
        <w:numPr>
          <w:ilvl w:val="1"/>
          <w:numId w:val="42"/>
        </w:numPr>
        <w:ind w:hanging="480" w:left="48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Договор должен быть подписан Покупателем в течение пяти дней с даты получения предложения конкурсного управляющего о заключении данного договора купли-продажи.</w:t>
      </w:r>
    </w:p>
    <w:p>
      <w:pPr>
        <w:pStyle w:val="Normal"/>
        <w:numPr>
          <w:ilvl w:val="1"/>
          <w:numId w:val="43"/>
        </w:numPr>
        <w:ind w:hanging="480" w:left="48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Оплата производится в течение 30 (тридцати) календарных дней начиная с даты подписания Данного договора.</w:t>
      </w:r>
    </w:p>
    <w:p>
      <w:pPr>
        <w:pStyle w:val="Normal"/>
        <w:numPr>
          <w:ilvl w:val="1"/>
          <w:numId w:val="44"/>
        </w:numPr>
        <w:ind w:hanging="480" w:left="48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Оплата производится путём перечисления денежных средств на счёт должника  – получатель ООО «</w:t>
      </w:r>
      <w:r>
        <w:rPr>
          <w:rFonts w:ascii="Calibri" w:hAnsi="Calibri"/>
          <w:bCs/>
        </w:rPr>
        <w:t>Забнефетесервис</w:t>
      </w:r>
      <w:r>
        <w:rPr>
          <w:rFonts w:ascii="Calibri" w:hAnsi="Calibri"/>
          <w:bCs/>
        </w:rPr>
        <w:t>», ПАО «Совкомбанк» (г. Москва) в Филиал «Корпоративный», БИК 044525360, кор.счет 30101810445250000360, р/с  40702810312020266539.</w:t>
      </w:r>
    </w:p>
    <w:p>
      <w:pPr>
        <w:pStyle w:val="Normal"/>
        <w:numPr>
          <w:ilvl w:val="1"/>
          <w:numId w:val="45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Надлежащим выполнением обязательств Покупателя по оплате Имущества является поступление денежных средств на расчетный счет Продавца в порядке, сумме и сроки, указанные в п. 2.2-2.3 настоящего Договора.</w:t>
      </w:r>
    </w:p>
    <w:p>
      <w:pPr>
        <w:pStyle w:val="Normal"/>
        <w:numPr>
          <w:ilvl w:val="1"/>
          <w:numId w:val="46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Факт оплаты Имущества удостоверяется выпиской с указанного в п. 2.6 настоящего Договора счета, подтверждающей поступление денежных средств в счет оплаты Имущества.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47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ПЕРЕХОД ПРАВА НА ИМУЩЕСТВО</w:t>
      </w:r>
    </w:p>
    <w:p>
      <w:pPr>
        <w:pStyle w:val="Normal"/>
        <w:numPr>
          <w:ilvl w:val="1"/>
          <w:numId w:val="48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Имущество передается по Акту приема-передачи в том виде, котором оно находится на момент передачи после полной оплаты в течение 10 календарных дней.</w:t>
      </w:r>
    </w:p>
    <w:p>
      <w:pPr>
        <w:pStyle w:val="Normal"/>
        <w:numPr>
          <w:ilvl w:val="0"/>
          <w:numId w:val="0"/>
        </w:numPr>
        <w:ind w:hanging="0" w:left="48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49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ПРАВА И ОБЯЗАННОСТИ СТОРОН</w:t>
      </w:r>
    </w:p>
    <w:p>
      <w:pPr>
        <w:pStyle w:val="Normal"/>
        <w:numPr>
          <w:ilvl w:val="1"/>
          <w:numId w:val="50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Продавец обязуется предоставить Покупателю сведения, необходимые для исполнения условий, установленных Договором.</w:t>
      </w:r>
    </w:p>
    <w:p>
      <w:pPr>
        <w:pStyle w:val="Normal"/>
        <w:numPr>
          <w:ilvl w:val="1"/>
          <w:numId w:val="51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Покупатель обязуется оплатить стоимость Имущества в сроки и в порядке, установленном Договором.</w:t>
      </w:r>
    </w:p>
    <w:p>
      <w:pPr>
        <w:pStyle w:val="Normal"/>
        <w:numPr>
          <w:ilvl w:val="1"/>
          <w:numId w:val="52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Обязанность по оформлению прав на приобретенное имущество и бремя расходов по оформлению прав возлагается на Покупателя.</w:t>
      </w:r>
    </w:p>
    <w:p>
      <w:pPr>
        <w:pStyle w:val="Normal"/>
        <w:numPr>
          <w:ilvl w:val="1"/>
          <w:numId w:val="53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54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РАСТОРЖЕНИЕ ДОГОВОРА</w:t>
      </w:r>
    </w:p>
    <w:p>
      <w:pPr>
        <w:pStyle w:val="Normal"/>
        <w:numPr>
          <w:ilvl w:val="1"/>
          <w:numId w:val="55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numPr>
          <w:ilvl w:val="1"/>
          <w:numId w:val="56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</w:p>
    <w:p>
      <w:pPr>
        <w:pStyle w:val="Normal"/>
        <w:numPr>
          <w:ilvl w:val="1"/>
          <w:numId w:val="57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58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ОТВЕТСТВЕННОСТЬ СТОРОН</w:t>
      </w:r>
    </w:p>
    <w:p>
      <w:pPr>
        <w:pStyle w:val="Normal"/>
        <w:numPr>
          <w:ilvl w:val="1"/>
          <w:numId w:val="59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60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ПРОЧИЕ УСЛОВИЯ</w:t>
      </w:r>
    </w:p>
    <w:p>
      <w:pPr>
        <w:pStyle w:val="Normal"/>
        <w:numPr>
          <w:ilvl w:val="1"/>
          <w:numId w:val="61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Настоящий Договор считается заключенным с момента его подписания Сторонами и действует вплоть до полного выполнения Сторонами своих обязанностей либо до его расторжения.</w:t>
      </w:r>
    </w:p>
    <w:p>
      <w:pPr>
        <w:pStyle w:val="Normal"/>
        <w:numPr>
          <w:ilvl w:val="1"/>
          <w:numId w:val="62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>
      <w:pPr>
        <w:pStyle w:val="Normal"/>
        <w:numPr>
          <w:ilvl w:val="1"/>
          <w:numId w:val="63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Все уведомления и сообщения должны направляться в письменной форме.</w:t>
      </w:r>
    </w:p>
    <w:p>
      <w:pPr>
        <w:pStyle w:val="Normal"/>
        <w:numPr>
          <w:ilvl w:val="1"/>
          <w:numId w:val="64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>
      <w:pPr>
        <w:pStyle w:val="Normal"/>
        <w:numPr>
          <w:ilvl w:val="1"/>
          <w:numId w:val="65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>
      <w:pPr>
        <w:pStyle w:val="Normal"/>
        <w:numPr>
          <w:ilvl w:val="1"/>
          <w:numId w:val="66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При не урегулировании в процессе переговоров спорных вопросов споры разрешаются в Арбитражном суде Иркутской области в порядке, установленном федеральным законодательством.</w:t>
      </w:r>
    </w:p>
    <w:p>
      <w:pPr>
        <w:pStyle w:val="Normal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numPr>
          <w:ilvl w:val="0"/>
          <w:numId w:val="67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ЗАКЛЮЧИТЕЛЬНЫЕ ПОЛОЖЕНИЯ</w:t>
      </w:r>
    </w:p>
    <w:p>
      <w:pPr>
        <w:pStyle w:val="Normal"/>
        <w:numPr>
          <w:ilvl w:val="1"/>
          <w:numId w:val="68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Настоящий Договор составлен в трех экземплярах, имеющих одинаковую юридическую силу.</w:t>
      </w:r>
    </w:p>
    <w:p>
      <w:pPr>
        <w:pStyle w:val="Normal"/>
        <w:numPr>
          <w:ilvl w:val="1"/>
          <w:numId w:val="69"/>
        </w:numPr>
        <w:ind w:hanging="480" w:left="480"/>
        <w:jc w:val="both"/>
        <w:rPr>
          <w:rFonts w:ascii="Calibri" w:hAnsi="Calibri"/>
        </w:rPr>
      </w:pPr>
      <w:r>
        <w:rPr>
          <w:rFonts w:ascii="Calibri" w:hAnsi="Calibri"/>
        </w:rPr>
        <w:t>Неотъемлемыми частями настоящего Договора являются:</w:t>
      </w:r>
    </w:p>
    <w:p>
      <w:pPr>
        <w:pStyle w:val="Normal"/>
        <w:numPr>
          <w:ilvl w:val="2"/>
          <w:numId w:val="70"/>
        </w:numPr>
        <w:tabs>
          <w:tab w:val="clear" w:pos="708"/>
          <w:tab w:val="left" w:pos="1080" w:leader="none"/>
        </w:tabs>
        <w:ind w:hanging="600" w:left="1080"/>
        <w:jc w:val="both"/>
        <w:rPr>
          <w:rFonts w:ascii="Calibri" w:hAnsi="Calibri"/>
        </w:rPr>
      </w:pPr>
      <w:r>
        <w:rPr>
          <w:rFonts w:ascii="Calibri" w:hAnsi="Calibri"/>
        </w:rPr>
        <w:t xml:space="preserve">Протокол №__________ от ____________ г. подведения итогов торгов по продаже имущества. 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71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РЕКВИЗИТЫ СТОРОН  </w:t>
        <w:tab/>
        <w:tab/>
      </w:r>
    </w:p>
    <w:p>
      <w:pPr>
        <w:pStyle w:val="Normal"/>
        <w:rPr>
          <w:rFonts w:ascii="Calibri" w:hAnsi="Calibri"/>
          <w:sz w:val="4"/>
          <w:szCs w:val="4"/>
        </w:rPr>
      </w:pPr>
      <w:r>
        <w:rPr>
          <w:rFonts w:ascii="Calibri" w:hAnsi="Calibri"/>
          <w:sz w:val="4"/>
          <w:szCs w:val="4"/>
        </w:rPr>
      </w:r>
    </w:p>
    <w:p>
      <w:pPr>
        <w:pStyle w:val="Normal"/>
        <w:rPr>
          <w:rFonts w:ascii="Calibri" w:hAnsi="Calibri"/>
          <w:sz w:val="4"/>
          <w:szCs w:val="4"/>
        </w:rPr>
      </w:pPr>
      <w:r>
        <w:rPr>
          <w:rFonts w:ascii="Calibri" w:hAnsi="Calibri"/>
          <w:sz w:val="4"/>
          <w:szCs w:val="4"/>
        </w:rPr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6"/>
        <w:gridCol w:w="512"/>
        <w:gridCol w:w="948"/>
        <w:gridCol w:w="308"/>
        <w:gridCol w:w="1695"/>
        <w:gridCol w:w="250"/>
        <w:gridCol w:w="959"/>
        <w:gridCol w:w="516"/>
        <w:gridCol w:w="703"/>
        <w:gridCol w:w="308"/>
        <w:gridCol w:w="2159"/>
      </w:tblGrid>
      <w:tr>
        <w:trPr>
          <w:trHeight w:val="367" w:hRule="atLeast"/>
        </w:trPr>
        <w:tc>
          <w:tcPr>
            <w:tcW w:w="1508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Покупатель:</w:t>
            </w:r>
          </w:p>
        </w:tc>
        <w:tc>
          <w:tcPr>
            <w:tcW w:w="2951" w:type="dxa"/>
            <w:gridSpan w:val="3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</w:r>
          </w:p>
        </w:tc>
        <w:tc>
          <w:tcPr>
            <w:tcW w:w="1475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Продавец:</w:t>
            </w:r>
          </w:p>
        </w:tc>
        <w:tc>
          <w:tcPr>
            <w:tcW w:w="317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/>
                <w:b/>
                <w:bCs/>
                <w:color w:val="000000"/>
              </w:rPr>
            </w:pPr>
            <w:r>
              <w:rPr>
                <w:rFonts w:eastAsia="Calibri" w:ascii="Calibri" w:hAnsi="Calibri"/>
                <w:b/>
                <w:bCs/>
                <w:color w:val="000000"/>
              </w:rPr>
              <w:t>ООО «</w:t>
            </w:r>
            <w:r>
              <w:rPr>
                <w:rFonts w:eastAsia="Calibri" w:ascii="Calibri" w:hAnsi="Calibri"/>
                <w:b/>
                <w:bCs/>
                <w:color w:val="000000"/>
              </w:rPr>
              <w:t>Забнефтесервис</w:t>
            </w:r>
            <w:r>
              <w:rPr>
                <w:rFonts w:eastAsia="Calibri" w:ascii="Calibri" w:hAnsi="Calibri"/>
                <w:b/>
                <w:bCs/>
                <w:color w:val="000000"/>
              </w:rPr>
              <w:t>»</w:t>
            </w:r>
          </w:p>
        </w:tc>
      </w:tr>
      <w:tr>
        <w:trPr>
          <w:trHeight w:val="255" w:hRule="exact"/>
        </w:trPr>
        <w:tc>
          <w:tcPr>
            <w:tcW w:w="4459" w:type="dxa"/>
            <w:gridSpan w:val="5"/>
            <w:tcBorders/>
          </w:tcPr>
          <w:p>
            <w:pPr>
              <w:pStyle w:val="Normal"/>
              <w:widowControl w:val="false"/>
              <w:rPr>
                <w:rFonts w:ascii="Calibri" w:hAnsi="Calibri" w:eastAsia="Calibri"/>
                <w:b/>
                <w:bCs/>
                <w:color w:val="000000"/>
              </w:rPr>
            </w:pPr>
            <w:r>
              <w:rPr>
                <w:rFonts w:eastAsia="Calibri" w:ascii="Calibri" w:hAnsi="Calibri"/>
                <w:b/>
                <w:bCs/>
                <w:color w:val="000000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45" w:type="dxa"/>
            <w:gridSpan w:val="5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8" w:hRule="atLeast"/>
        </w:trPr>
        <w:tc>
          <w:tcPr>
            <w:tcW w:w="1508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Юр. адрес:</w:t>
            </w:r>
          </w:p>
        </w:tc>
        <w:tc>
          <w:tcPr>
            <w:tcW w:w="2951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1475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Юр. адрес:</w:t>
            </w:r>
          </w:p>
        </w:tc>
        <w:tc>
          <w:tcPr>
            <w:tcW w:w="317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672039, Забайкальский край, г. Чита, ул. Проезжая, д. 46, оф. 507</w:t>
            </w:r>
          </w:p>
        </w:tc>
      </w:tr>
      <w:tr>
        <w:trPr>
          <w:trHeight w:val="270" w:hRule="atLeast"/>
        </w:trPr>
        <w:tc>
          <w:tcPr>
            <w:tcW w:w="4459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4645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Почтовый адрес: 6640</w:t>
            </w:r>
            <w:r>
              <w:rPr>
                <w:rFonts w:ascii="Calibri" w:hAnsi="Calibri"/>
                <w:color w:val="000000"/>
              </w:rPr>
              <w:t>81, г. Иркутск, Донская, 7А-403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ОГРНИП</w:t>
            </w:r>
          </w:p>
        </w:tc>
        <w:tc>
          <w:tcPr>
            <w:tcW w:w="346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ОГРН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bCs/>
                <w:color w:val="333333"/>
                <w:shd w:fill="auto" w:val="clear"/>
                <w:lang w:eastAsia="ru-RU"/>
              </w:rPr>
              <w:t>1207500005459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ИНН</w:t>
            </w:r>
          </w:p>
        </w:tc>
        <w:tc>
          <w:tcPr>
            <w:tcW w:w="346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ИНН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bCs/>
                <w:color w:val="333333"/>
                <w:shd w:fill="auto" w:val="clear"/>
                <w:lang w:eastAsia="ru-RU"/>
              </w:rPr>
              <w:t>7536183655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eastAsia="Calibri" w:ascii="Calibri" w:hAnsi="Calibri"/>
                <w:color w:val="000000"/>
              </w:rPr>
              <w:t>КПП</w:t>
            </w:r>
          </w:p>
        </w:tc>
        <w:tc>
          <w:tcPr>
            <w:tcW w:w="346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eastAsia="Calibri" w:ascii="Calibri" w:hAnsi="Calibri"/>
                <w:color w:val="000000"/>
              </w:rPr>
              <w:t>КПП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eastAsia="Calibri" w:ascii="Calibri" w:hAnsi="Calibri"/>
              </w:rPr>
              <w:t>753601001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р/с</w:t>
            </w:r>
          </w:p>
        </w:tc>
        <w:tc>
          <w:tcPr>
            <w:tcW w:w="346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firstLine="34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р/с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bCs/>
                <w:color w:val="000000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hd w:fill="auto" w:val="clear"/>
                <w:lang w:eastAsia="ru-RU"/>
              </w:rPr>
              <w:t>40702810312020266539.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Банк</w:t>
            </w:r>
          </w:p>
        </w:tc>
        <w:tc>
          <w:tcPr>
            <w:tcW w:w="346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Банк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color w:val="000000"/>
                <w:lang w:eastAsia="ru-RU"/>
              </w:rPr>
              <w:t>Филиал "Корпоративный" ПАО "Совкомбанк" (г. Москва)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к/с</w:t>
            </w:r>
          </w:p>
        </w:tc>
        <w:tc>
          <w:tcPr>
            <w:tcW w:w="346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firstLine="34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к/с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color w:val="000000"/>
                <w:lang w:eastAsia="ru-RU"/>
              </w:rPr>
              <w:t>30101810445250000360</w:t>
            </w:r>
          </w:p>
        </w:tc>
      </w:tr>
      <w:tr>
        <w:trPr>
          <w:trHeight w:val="330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БИК</w:t>
            </w:r>
          </w:p>
        </w:tc>
        <w:tc>
          <w:tcPr>
            <w:tcW w:w="346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firstLine="34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БИК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color w:val="000000"/>
                <w:lang w:eastAsia="ru-RU"/>
              </w:rPr>
              <w:t>044525360</w:t>
            </w:r>
          </w:p>
        </w:tc>
      </w:tr>
      <w:tr>
        <w:trPr>
          <w:trHeight w:val="255" w:hRule="exac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51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4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03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255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Тел.</w:t>
            </w:r>
          </w:p>
        </w:tc>
        <w:tc>
          <w:tcPr>
            <w:tcW w:w="3463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Тел.</w:t>
            </w:r>
          </w:p>
        </w:tc>
        <w:tc>
          <w:tcPr>
            <w:tcW w:w="368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89</w:t>
            </w:r>
            <w:r>
              <w:rPr>
                <w:rFonts w:ascii="Calibri" w:hAnsi="Calibri"/>
              </w:rPr>
              <w:t>248378888</w:t>
            </w:r>
          </w:p>
        </w:tc>
      </w:tr>
      <w:tr>
        <w:trPr>
          <w:trHeight w:val="255" w:hRule="atLeas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e-mail:</w:t>
            </w:r>
          </w:p>
        </w:tc>
        <w:tc>
          <w:tcPr>
            <w:tcW w:w="346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e-mail: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hyperlink r:id="rId2">
              <w:r>
                <w:rPr>
                  <w:rStyle w:val="Hyperlink"/>
                  <w:rFonts w:ascii="Calibri" w:hAnsi="Calibri"/>
                  <w:lang w:val="en-US"/>
                </w:rPr>
                <w:t>Zharkov.a.v@mail.ru</w:t>
              </w:r>
            </w:hyperlink>
            <w:r>
              <w:rPr>
                <w:rStyle w:val="InternetLink3"/>
                <w:rFonts w:ascii="Calibri" w:hAnsi="Calibri"/>
                <w:lang w:val="en-US"/>
              </w:rPr>
              <w:t xml:space="preserve"> </w:t>
            </w:r>
          </w:p>
        </w:tc>
      </w:tr>
      <w:tr>
        <w:trPr>
          <w:trHeight w:val="255" w:hRule="exact"/>
        </w:trPr>
        <w:tc>
          <w:tcPr>
            <w:tcW w:w="996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51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0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5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512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948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/</w:t>
            </w:r>
          </w:p>
        </w:tc>
        <w:tc>
          <w:tcPr>
            <w:tcW w:w="169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516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703" w:type="dxa"/>
            <w:tcBorders>
              <w:bottom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/</w:t>
            </w:r>
          </w:p>
        </w:tc>
        <w:tc>
          <w:tcPr>
            <w:tcW w:w="21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А.В. Жарков</w:t>
            </w:r>
          </w:p>
        </w:tc>
      </w:tr>
      <w:tr>
        <w:trPr>
          <w:trHeight w:val="255" w:hRule="exact"/>
        </w:trPr>
        <w:tc>
          <w:tcPr>
            <w:tcW w:w="996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</w:r>
          </w:p>
        </w:tc>
        <w:tc>
          <w:tcPr>
            <w:tcW w:w="51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03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5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996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МП</w:t>
            </w:r>
          </w:p>
        </w:tc>
        <w:tc>
          <w:tcPr>
            <w:tcW w:w="948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5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МП</w:t>
            </w:r>
          </w:p>
        </w:tc>
        <w:tc>
          <w:tcPr>
            <w:tcW w:w="703" w:type="dxa"/>
            <w:tcBorders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  <w:tc>
          <w:tcPr>
            <w:tcW w:w="30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5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jc w:val="both"/>
        <w:rPr>
          <w:rFonts w:ascii="Calibri" w:hAnsi="Calibri"/>
          <w:sz w:val="6"/>
          <w:szCs w:val="6"/>
        </w:rPr>
      </w:pPr>
      <w:r>
        <w:rPr>
          <w:rFonts w:ascii="Calibri" w:hAnsi="Calibri"/>
          <w:sz w:val="6"/>
          <w:szCs w:val="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1"/>
    <w:lvlOverride w:ilvl="0">
      <w:startOverride w:val="1"/>
    </w:lvlOverride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 w:numId="51">
    <w:abstractNumId w:val="1"/>
  </w:num>
  <w:num w:numId="52">
    <w:abstractNumId w:val="1"/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 w:numId="58">
    <w:abstractNumId w:val="1"/>
  </w:num>
  <w:num w:numId="59">
    <w:abstractNumId w:val="1"/>
  </w:num>
  <w:num w:numId="60">
    <w:abstractNumId w:val="1"/>
  </w:num>
  <w:num w:numId="61">
    <w:abstractNumId w:val="1"/>
  </w:num>
  <w:num w:numId="62">
    <w:abstractNumId w:val="1"/>
  </w:num>
  <w:num w:numId="63">
    <w:abstractNumId w:val="1"/>
  </w:num>
  <w:num w:numId="64">
    <w:abstractNumId w:val="1"/>
  </w:num>
  <w:num w:numId="65">
    <w:abstractNumId w:val="1"/>
  </w:num>
  <w:num w:numId="66">
    <w:abstractNumId w:val="1"/>
  </w:num>
  <w:num w:numId="67">
    <w:abstractNumId w:val="1"/>
  </w:num>
  <w:num w:numId="68">
    <w:abstractNumId w:val="1"/>
  </w:num>
  <w:num w:numId="69">
    <w:abstractNumId w:val="1"/>
  </w:num>
  <w:num w:numId="70">
    <w:abstractNumId w:val="1"/>
  </w:num>
  <w:num w:numId="7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506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semiHidden/>
    <w:unhideWhenUsed/>
    <w:qFormat/>
    <w:rsid w:val="00aa5060"/>
    <w:rPr>
      <w:color w:val="0563C1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harkov.a.v@mail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LibreOffice/24.2.5.2$Windows_X86_64 LibreOffice_project/bffef4ea93e59bebbeaf7f431bb02b1a39ee8a59</Application>
  <AppVersion>15.0000</AppVersion>
  <Pages>3</Pages>
  <Words>698</Words>
  <Characters>5189</Characters>
  <CharactersWithSpaces>5787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2023-06-13T09:42:00Z</dcterms:created>
  <dc:creator>Юлия Рыбаченок</dc:creator>
  <dc:description/>
  <dc:language>ru-RU</dc:language>
  <cp:lastModifiedBy/>
  <dcterms:modified xsi:type="dcterms:W3CDTF">2026-08-26T14:46:14Z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